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Verdana" w:hAnsi="Verdana"/>
          <w:b/>
          <w:b/>
          <w:sz w:val="4"/>
          <w:szCs w:val="4"/>
          <w:lang w:val="sq-AL"/>
        </w:rPr>
      </w:pPr>
      <w:r>
        <w:rPr>
          <w:rFonts w:ascii="Verdana" w:hAnsi="Verdana"/>
          <w:b/>
          <w:sz w:val="4"/>
          <w:szCs w:val="4"/>
          <w:lang w:val="sq-AL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1964690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4"/>
          <w:szCs w:val="4"/>
          <w:lang w:val="sq-AL"/>
        </w:rPr>
      </w:pPr>
      <w:r>
        <w:rPr>
          <w:rFonts w:ascii="Verdana" w:hAnsi="Verdana"/>
          <w:b/>
          <w:sz w:val="4"/>
          <w:szCs w:val="4"/>
          <w:lang w:val="sq-AL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4"/>
          <w:szCs w:val="4"/>
          <w:lang w:val="sq-AL"/>
        </w:rPr>
      </w:pPr>
      <w:r>
        <w:rPr>
          <w:rFonts w:ascii="Verdana" w:hAnsi="Verdana"/>
          <w:b/>
          <w:sz w:val="4"/>
          <w:szCs w:val="4"/>
          <w:lang w:val="sq-AL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4"/>
          <w:szCs w:val="4"/>
          <w:lang w:val="sq-AL"/>
        </w:rPr>
      </w:pPr>
      <w:r>
        <w:rPr>
          <w:rFonts w:ascii="Verdana" w:hAnsi="Verdana"/>
          <w:b/>
          <w:sz w:val="4"/>
          <w:szCs w:val="4"/>
          <w:lang w:val="sq-AL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lang w:val="sq-AL"/>
        </w:rPr>
      </w:pPr>
      <w:r>
        <w:rPr>
          <w:rFonts w:ascii="Verdana" w:hAnsi="Verdana"/>
          <w:b/>
          <w:lang w:val="sq-AL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lang w:val="sq-AL"/>
        </w:rPr>
      </w:pPr>
      <w:r>
        <w:rPr>
          <w:rFonts w:ascii="Verdana" w:hAnsi="Verdana"/>
          <w:b/>
          <w:lang w:val="sq-AL"/>
        </w:rPr>
        <w:drawing>
          <wp:anchor behindDoc="0" distT="0" distB="635" distL="114300" distR="114300" simplePos="0" locked="0" layoutInCell="1" allowOverlap="1" relativeHeight="3">
            <wp:simplePos x="0" y="0"/>
            <wp:positionH relativeFrom="column">
              <wp:posOffset>-132080</wp:posOffset>
            </wp:positionH>
            <wp:positionV relativeFrom="paragraph">
              <wp:posOffset>126365</wp:posOffset>
            </wp:positionV>
            <wp:extent cx="864235" cy="818515"/>
            <wp:effectExtent l="0" t="0" r="0" b="0"/>
            <wp:wrapNone/>
            <wp:docPr id="2" name="Picture 3" descr="Logo skend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 skenderb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lang w:val="sq-AL"/>
        </w:rPr>
      </w:pPr>
      <w:r>
        <w:rPr>
          <w:rFonts w:ascii="Verdana" w:hAnsi="Verdana"/>
          <w:b/>
          <w:lang w:val="sq-AL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5195" cy="1270"/>
                <wp:effectExtent l="7620" t="10795" r="7620" b="7620"/>
                <wp:wrapNone/>
                <wp:docPr id="3" name="Straight Arrow Connecto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2" stroked="t" style="position:absolute;margin-left:249.3pt;margin-top:10.15pt;width:172.7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8285" cy="1270"/>
                <wp:effectExtent l="7620" t="10795" r="8255" b="7620"/>
                <wp:wrapNone/>
                <wp:docPr id="4" name="Straight Arrow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1" stroked="t" style="position:absolute;margin-left:60.3pt;margin-top:10.15pt;width:119.4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  <w:lang w:val="sq-AL"/>
        </w:rPr>
      </w:pPr>
      <w:r>
        <w:rPr>
          <w:rFonts w:ascii="Verdana" w:hAnsi="Verdana"/>
          <w:b/>
          <w:sz w:val="18"/>
          <w:szCs w:val="18"/>
          <w:lang w:val="sq-AL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18"/>
          <w:szCs w:val="18"/>
          <w:lang w:val="sq-AL"/>
        </w:rPr>
        <w:t xml:space="preserve">     </w:t>
      </w:r>
      <w:r>
        <w:rPr>
          <w:b/>
          <w:sz w:val="16"/>
          <w:szCs w:val="16"/>
          <w:lang w:val="sq-AL"/>
        </w:rPr>
        <w:t>R  E  P U  B  L  I  K  A    E   S  H  Q  I  P  Ë  R  I  S  Ë</w:t>
      </w:r>
      <w:r>
        <w:rPr>
          <w:b/>
          <w:lang w:val="sq-AL"/>
        </w:rPr>
        <w:br/>
        <w:t>KËSHILLI BASHKIAK</w:t>
      </w:r>
    </w:p>
    <w:p>
      <w:pPr>
        <w:pStyle w:val="Normal"/>
        <w:spacing w:lineRule="auto" w:line="276"/>
        <w:jc w:val="center"/>
        <w:rPr>
          <w:b/>
          <w:b/>
          <w:lang w:val="sq-AL"/>
        </w:rPr>
      </w:pPr>
      <w:r>
        <w:rPr>
          <w:b/>
          <w:lang w:val="sq-AL"/>
        </w:rPr>
      </w:r>
    </w:p>
    <w:p>
      <w:pPr>
        <w:pStyle w:val="Normal"/>
        <w:spacing w:lineRule="auto" w:line="276"/>
        <w:jc w:val="center"/>
        <w:rPr/>
      </w:pPr>
      <w:r>
        <w:rPr>
          <w:b/>
          <w:lang w:val="sq-AL"/>
        </w:rPr>
        <w:t>V E N D I M</w:t>
      </w:r>
    </w:p>
    <w:p>
      <w:pPr>
        <w:pStyle w:val="Normal"/>
        <w:spacing w:lineRule="auto" w:line="276"/>
        <w:jc w:val="both"/>
        <w:rPr>
          <w:lang w:val="sq-AL"/>
        </w:rPr>
      </w:pPr>
      <w:r>
        <w:rPr>
          <w:lang w:val="sq-AL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contextualSpacing/>
        <w:jc w:val="center"/>
        <w:outlineLvl w:val="2"/>
        <w:rPr/>
      </w:pPr>
      <w:r>
        <w:rPr>
          <w:bCs/>
          <w:lang w:eastAsia="en-GB"/>
        </w:rPr>
        <w:t xml:space="preserve">Nr. </w:t>
      </w:r>
      <w:r>
        <w:rPr>
          <w:bCs/>
          <w:lang w:eastAsia="en-GB"/>
        </w:rPr>
        <w:t>99</w:t>
      </w:r>
      <w:r>
        <w:rPr>
          <w:bCs/>
          <w:lang w:eastAsia="en-GB"/>
        </w:rPr>
        <w:t xml:space="preserve"> datë </w:t>
      </w:r>
      <w:r>
        <w:rPr>
          <w:bCs/>
          <w:lang w:eastAsia="en-GB"/>
        </w:rPr>
        <w:t>24.08.</w:t>
      </w:r>
      <w:r>
        <w:rPr>
          <w:bCs/>
          <w:lang w:eastAsia="en-GB"/>
        </w:rPr>
        <w:t>2018</w:t>
      </w:r>
    </w:p>
    <w:p>
      <w:pPr>
        <w:pStyle w:val="Normal"/>
        <w:spacing w:before="0" w:after="200"/>
        <w:contextualSpacing/>
        <w:jc w:val="center"/>
        <w:rPr>
          <w:b/>
          <w:b/>
          <w:sz w:val="16"/>
          <w:szCs w:val="16"/>
          <w:lang w:val="sq-AL" w:eastAsia="sq-AL"/>
        </w:rPr>
      </w:pPr>
      <w:r>
        <w:rPr>
          <w:b/>
          <w:sz w:val="16"/>
          <w:szCs w:val="16"/>
          <w:lang w:val="sq-AL" w:eastAsia="sq-AL"/>
        </w:rPr>
      </w:r>
    </w:p>
    <w:p>
      <w:pPr>
        <w:pStyle w:val="Normal"/>
        <w:jc w:val="center"/>
        <w:rPr>
          <w:b/>
          <w:b/>
          <w:sz w:val="16"/>
          <w:szCs w:val="16"/>
          <w:lang w:val="sq-AL" w:eastAsia="sq-AL"/>
        </w:rPr>
      </w:pPr>
      <w:r>
        <w:rPr>
          <w:b/>
          <w:sz w:val="16"/>
          <w:szCs w:val="16"/>
          <w:lang w:val="sq-AL" w:eastAsia="sq-AL"/>
        </w:rPr>
      </w:r>
    </w:p>
    <w:p>
      <w:pPr>
        <w:pStyle w:val="Normal"/>
        <w:jc w:val="center"/>
        <w:rPr>
          <w:b/>
          <w:b/>
          <w:lang w:val="sq-AL" w:eastAsia="sq-AL"/>
        </w:rPr>
      </w:pPr>
      <w:r>
        <w:rPr>
          <w:b/>
          <w:lang w:val="sq-AL" w:eastAsia="sq-AL"/>
        </w:rPr>
        <w:t xml:space="preserve">PËR </w:t>
      </w:r>
    </w:p>
    <w:p>
      <w:pPr>
        <w:pStyle w:val="Normal"/>
        <w:jc w:val="center"/>
        <w:rPr>
          <w:b/>
          <w:b/>
          <w:i/>
          <w:i/>
          <w:lang w:val="sq-AL" w:eastAsia="sq-AL"/>
        </w:rPr>
      </w:pPr>
      <w:r>
        <w:rPr>
          <w:b/>
          <w:lang w:val="sq-AL" w:eastAsia="sq-AL"/>
        </w:rPr>
        <w:t>MIRATIMIN E PAGESËS PËR PAK E INVALIDËT E PUNËS</w:t>
      </w:r>
    </w:p>
    <w:p>
      <w:pPr>
        <w:pStyle w:val="Normal"/>
        <w:jc w:val="center"/>
        <w:rPr>
          <w:b/>
          <w:b/>
          <w:i/>
          <w:i/>
          <w:sz w:val="16"/>
          <w:szCs w:val="16"/>
          <w:lang w:val="sq-AL" w:eastAsia="sq-AL"/>
        </w:rPr>
      </w:pPr>
      <w:r>
        <w:rPr>
          <w:b/>
          <w:lang w:val="sq-AL" w:eastAsia="sq-AL"/>
        </w:rPr>
        <w:t>PËR PERIUDHËN 1-31 GUSHT 2018</w:t>
      </w:r>
    </w:p>
    <w:p>
      <w:pPr>
        <w:pStyle w:val="Normal"/>
        <w:jc w:val="center"/>
        <w:rPr>
          <w:b/>
          <w:b/>
          <w:i/>
          <w:i/>
          <w:sz w:val="16"/>
          <w:szCs w:val="16"/>
          <w:lang w:val="sq-AL" w:eastAsia="sq-AL"/>
        </w:rPr>
      </w:pPr>
      <w:r>
        <w:rPr>
          <w:b/>
          <w:i/>
          <w:sz w:val="16"/>
          <w:szCs w:val="16"/>
          <w:lang w:val="sq-AL" w:eastAsia="sq-AL"/>
        </w:rPr>
      </w:r>
    </w:p>
    <w:p>
      <w:pPr>
        <w:pStyle w:val="Normal"/>
        <w:jc w:val="both"/>
        <w:rPr>
          <w:sz w:val="16"/>
          <w:szCs w:val="16"/>
          <w:lang w:val="sq-AL" w:eastAsia="sq-AL"/>
        </w:rPr>
      </w:pPr>
      <w:r>
        <w:rPr>
          <w:sz w:val="16"/>
          <w:szCs w:val="16"/>
          <w:lang w:val="sq-AL" w:eastAsia="sq-AL"/>
        </w:rPr>
      </w:r>
    </w:p>
    <w:p>
      <w:pPr>
        <w:pStyle w:val="Normal"/>
        <w:jc w:val="both"/>
        <w:rPr>
          <w:lang w:val="sq-AL" w:eastAsia="sq-AL"/>
        </w:rPr>
      </w:pPr>
      <w:r>
        <w:rPr>
          <w:lang w:val="sq-AL" w:eastAsia="sq-AL"/>
        </w:rPr>
        <w:t>Në mbështetje të nenit 8, pika 2, nenit 9, pika 1, nënpika 1.1, shkronja “b”, nenit 55, pikat 2 dhe 6 të ligjit nr. 139/2015 “Për vetëqeverisjen vendore”; neneve 7, 8, 11, 23 dhe nenit 29, pika 2 të ligjit nr. 9355, datë 10.03.2005 “Për ndihmën dhe shërbimet shoqërore” të ndryshuar, ligjit nr. 7889, datë 14.12.1994 “Për statusin e invalidëve të punës” të ndryshuar, ligjit nr. 8098, datë 28.03.1996 “Për statusin e të verbrit” i ndryshuar, ligjit nr. 8626, datë 22.06.2000 “Për statusin e invalidit paraplegjik dhe tetraplegjik” të ndryshuar, vendimit nr. 277, datë 18.06.1997 të Këshillit të Ministrave “Për përfitimet nga statusi i të verbrit” të ndryshuar, vendimit nr. 31, datë 20.01.2001 të Këshillit të Ministrave “Për përfitimet nga statusi i invalidit paraplegjik dhe tetraplegjik” të ndryshuar, vendimit nr. 618, datë 07.09.2006 të Këshillit të Ministrave “Për përcaktimin e kritereve të dokumentacionit dhe masës së përfitimit të pagesës për personat me aftësi të kufizuar” të ndryshuar, vendimit nr. 869, datë 18.06.2008 të Këshillit të Ministrave “Për zbatimin e ligjit nr. 7889, datë 14.12.1994 “Statusi i invalidit të punës”, vendimit nr. 78, datë 07.02.2007 të Këshillit të Ministrave “Për masën, kriteret dhe procedurat e përfitimit të një pakete të veçantë higjieno-sanitare, për invalidët paraplegjikë dhe tetraplegjikë” të ndryshuar, udhëzimit nr.3, datë 10.03.2014 të Ministrit të Mirëqenies Sociale dhe Rinisë “</w:t>
      </w:r>
      <w:r>
        <w:rPr>
          <w:bCs/>
          <w:spacing w:val="-6"/>
          <w:lang w:val="sq-AL" w:eastAsia="sq-AL"/>
        </w:rPr>
        <w:t xml:space="preserve">Për planifikimin e fondeve të pagesave </w:t>
      </w:r>
      <w:r>
        <w:rPr>
          <w:bCs/>
          <w:spacing w:val="-5"/>
          <w:lang w:val="sq-AL" w:eastAsia="sq-AL"/>
        </w:rPr>
        <w:t xml:space="preserve">për aftësinë e kufizuar” i ndryshuar, </w:t>
      </w:r>
      <w:r>
        <w:rPr>
          <w:lang w:val="sq-AL" w:eastAsia="sq-AL"/>
        </w:rPr>
        <w:t>udhëzimit nr. 366, datë 21.09.2017 të Ministrit të Shëndetësisë dhe Mbrojtjes Sociale “Mbi zbatimin e vendimit nr. 618 datë 07.09.2006 të Këshillit të Ministrave “Për përcaktimin e kritereve, të dokumentacionit dhe masës së përfitimit të pagesës për personat me aftësi të kufizuara” i ndryshuar, udhëzimit nr. 9, datë 25.02.2015 të Ministrit të Mirëqenies Sociale dhe Rinisë “Mbi zbatimin e vendimit nr. 404, datë 20.06.2012 të Këshillit të Ministrave “Për përcaktimin e masës së kritereve dhe procedurave të përfitimit të kompensimit financiar, nga personat me statusin e të verbrit dhe invalidit, paraplegjik dhe tetraplegjik, për faturën e energjisë elektrike dhe faturën e telefonisë fikse”, udhëzimit nr. 365, datë 21.09.2017 të Ministrit të Shëndetësisë dhe Mbrojtjes Sociale “</w:t>
      </w:r>
      <w:r>
        <w:rPr>
          <w:bCs/>
          <w:lang w:val="sq-AL" w:eastAsia="sq-AL"/>
        </w:rPr>
        <w:t>Mbi zbatimin e vendimit nr. 31, datë 20.1.2001 të Këshillit të Ministrave "Për përfitimet nga statusi i invalidit, paraplegjik dhe tetraplegjik" të ndryshuar;</w:t>
      </w:r>
      <w:r>
        <w:rPr>
          <w:lang w:val="sq-AL" w:eastAsia="sq-AL"/>
        </w:rPr>
        <w:t xml:space="preserve"> udhëzimit nr. 367, datë 21.09.2017 të Ministrit të Shëndetësisë dhe Mbrojtjes Sociale “Mbi zbatimin e vendimit nr.</w:t>
      </w:r>
      <w:r>
        <w:rPr>
          <w:bCs/>
          <w:lang w:val="sq-AL" w:eastAsia="sq-AL"/>
        </w:rPr>
        <w:t xml:space="preserve"> 277, datë 18.6.1997 të Këshillit të Ministrave “Për përfitimet nga statusi i të verbrit” i ndryshuar</w:t>
      </w:r>
      <w:r>
        <w:rPr>
          <w:lang w:val="sq-AL" w:eastAsia="sq-AL"/>
        </w:rPr>
        <w:t xml:space="preserve">, me propozim të Kryetarit të Bashkisë, Këshilli Bashkiak, </w:t>
      </w:r>
    </w:p>
    <w:p>
      <w:pPr>
        <w:pStyle w:val="Normal"/>
        <w:jc w:val="both"/>
        <w:rPr>
          <w:sz w:val="16"/>
          <w:szCs w:val="16"/>
          <w:lang w:val="sq-AL" w:eastAsia="sq-AL"/>
        </w:rPr>
      </w:pPr>
      <w:r>
        <w:rPr>
          <w:sz w:val="16"/>
          <w:szCs w:val="16"/>
          <w:lang w:val="sq-AL" w:eastAsia="sq-AL"/>
        </w:rPr>
      </w:r>
    </w:p>
    <w:p>
      <w:pPr>
        <w:pStyle w:val="Normal"/>
        <w:jc w:val="both"/>
        <w:rPr>
          <w:bCs/>
          <w:spacing w:val="-5"/>
          <w:sz w:val="16"/>
          <w:szCs w:val="16"/>
          <w:lang w:val="sq-AL" w:eastAsia="sq-AL"/>
        </w:rPr>
      </w:pPr>
      <w:r>
        <w:rPr>
          <w:bCs/>
          <w:spacing w:val="-5"/>
          <w:sz w:val="16"/>
          <w:szCs w:val="16"/>
          <w:lang w:val="sq-AL" w:eastAsia="sq-AL"/>
        </w:rPr>
      </w:r>
    </w:p>
    <w:p>
      <w:pPr>
        <w:pStyle w:val="Normal"/>
        <w:jc w:val="center"/>
        <w:rPr>
          <w:b/>
          <w:b/>
          <w:lang w:val="pt-BR" w:eastAsia="sq-AL"/>
        </w:rPr>
      </w:pPr>
      <w:r>
        <w:rPr>
          <w:b/>
          <w:lang w:val="pt-BR" w:eastAsia="sq-AL"/>
        </w:rPr>
        <w:t>V E N D O S I :</w:t>
      </w:r>
    </w:p>
    <w:p>
      <w:pPr>
        <w:pStyle w:val="Normal"/>
        <w:jc w:val="center"/>
        <w:rPr>
          <w:b/>
          <w:b/>
          <w:sz w:val="16"/>
          <w:szCs w:val="16"/>
          <w:lang w:val="pt-BR" w:eastAsia="sq-AL"/>
        </w:rPr>
      </w:pPr>
      <w:r>
        <w:rPr>
          <w:b/>
          <w:sz w:val="16"/>
          <w:szCs w:val="16"/>
          <w:lang w:val="pt-BR" w:eastAsia="sq-AL"/>
        </w:rPr>
      </w:r>
    </w:p>
    <w:p>
      <w:pPr>
        <w:pStyle w:val="Normal"/>
        <w:jc w:val="center"/>
        <w:rPr>
          <w:b/>
          <w:b/>
          <w:sz w:val="16"/>
          <w:szCs w:val="16"/>
          <w:lang w:val="pt-BR" w:eastAsia="sq-AL"/>
        </w:rPr>
      </w:pPr>
      <w:r>
        <w:rPr>
          <w:b/>
          <w:sz w:val="16"/>
          <w:szCs w:val="16"/>
          <w:lang w:val="pt-BR" w:eastAsia="sq-AL"/>
        </w:rPr>
      </w:r>
    </w:p>
    <w:p>
      <w:pPr>
        <w:pStyle w:val="NoSpacing"/>
        <w:numPr>
          <w:ilvl w:val="0"/>
          <w:numId w:val="1"/>
        </w:numPr>
        <w:jc w:val="both"/>
        <w:rPr>
          <w:bCs/>
        </w:rPr>
      </w:pPr>
      <w:r>
        <w:rPr/>
        <w:t>Miratimin e pagesës për personat me aftësi të kufizuar dhe invalidët e punës, për periudhën 1-31 Gusht 2018, për Njësitë Administrative të Bashkisë Tiranë, sipas tabelës nr.1, bashkëlidhur dhe pjesë përbërëse e këtij vendimi.</w:t>
      </w:r>
    </w:p>
    <w:p>
      <w:pPr>
        <w:pStyle w:val="NoSpacing"/>
        <w:numPr>
          <w:ilvl w:val="0"/>
          <w:numId w:val="1"/>
        </w:numPr>
        <w:jc w:val="both"/>
        <w:rPr>
          <w:bCs/>
          <w:lang w:val="sq-AL"/>
        </w:rPr>
      </w:pPr>
      <w:r>
        <w:rPr/>
        <w:t xml:space="preserve">Ngarkohen Drejtoria e Përgjithshme e Menaxhimit Financiar, Drejtoria e Përgjithshme e Shërbimeve Sociale dhe Njësitë Administrative </w:t>
      </w:r>
      <w:r>
        <w:rPr>
          <w:lang w:val="sq-AL"/>
        </w:rPr>
        <w:t>të Bashkisë Tiranë për ndjekjen dhe zbatimin e këtij vendimi.</w:t>
      </w:r>
    </w:p>
    <w:p>
      <w:pPr>
        <w:pStyle w:val="NoSpacing"/>
        <w:ind w:left="720" w:hanging="0"/>
        <w:jc w:val="both"/>
        <w:rPr>
          <w:bCs/>
          <w:sz w:val="16"/>
          <w:szCs w:val="16"/>
          <w:lang w:val="sq-AL"/>
        </w:rPr>
      </w:pPr>
      <w:r>
        <w:rPr>
          <w:bCs/>
          <w:sz w:val="16"/>
          <w:szCs w:val="16"/>
          <w:lang w:val="sq-AL"/>
        </w:rPr>
      </w:r>
    </w:p>
    <w:p>
      <w:pPr>
        <w:pStyle w:val="NoSpacing"/>
        <w:jc w:val="both"/>
        <w:rPr>
          <w:lang w:val="sq-AL" w:eastAsia="ja-JP"/>
        </w:rPr>
      </w:pPr>
      <w:r>
        <w:rPr>
          <w:lang w:val="en-GB" w:eastAsia="en-GB"/>
        </w:rPr>
        <w:t xml:space="preserve">Ky vendim hyn në fuqi sipas përcaktimeve të pikës 6, të nenit 55, të ligjit nr. 139/2015 “Për vetëqeverisjen vendore” </w:t>
      </w:r>
      <w:r>
        <w:rPr>
          <w:rFonts w:eastAsia="Calibri"/>
          <w:lang w:val="sq-AL" w:eastAsia="en-GB"/>
        </w:rPr>
        <w:t>dhe pas konfirmimit ligjor nga Institucioni i Prefektit të Qarkut Tiranë</w:t>
      </w:r>
      <w:r>
        <w:rPr>
          <w:lang w:val="sq-AL" w:eastAsia="ja-JP"/>
        </w:rPr>
        <w:t>.</w:t>
      </w:r>
    </w:p>
    <w:p>
      <w:pPr>
        <w:pStyle w:val="Normal"/>
        <w:jc w:val="both"/>
        <w:rPr>
          <w:lang w:val="en-GB" w:eastAsia="en-GB"/>
        </w:rPr>
      </w:pPr>
      <w:r>
        <w:rPr>
          <w:lang w:val="en-GB" w:eastAsia="en-GB"/>
        </w:rPr>
      </w:r>
    </w:p>
    <w:p>
      <w:pPr>
        <w:pStyle w:val="Normal"/>
        <w:ind w:firstLine="4665"/>
        <w:jc w:val="both"/>
        <w:rPr>
          <w:sz w:val="16"/>
          <w:szCs w:val="16"/>
          <w:lang w:val="pt-BR" w:eastAsia="sq-AL"/>
        </w:rPr>
      </w:pPr>
      <w:r>
        <w:rPr>
          <w:sz w:val="16"/>
          <w:szCs w:val="16"/>
          <w:lang w:val="pt-BR" w:eastAsia="sq-AL"/>
        </w:rPr>
      </w:r>
    </w:p>
    <w:p>
      <w:pPr>
        <w:pStyle w:val="Normal"/>
        <w:tabs>
          <w:tab w:val="left" w:pos="5685" w:leader="none"/>
        </w:tabs>
        <w:spacing w:before="0" w:after="200"/>
        <w:jc w:val="center"/>
        <w:rPr>
          <w:sz w:val="16"/>
          <w:szCs w:val="16"/>
          <w:lang w:val="pt-BR" w:eastAsia="sq-AL"/>
        </w:rPr>
      </w:pPr>
      <w:r>
        <w:rPr>
          <w:sz w:val="16"/>
          <w:szCs w:val="16"/>
          <w:lang w:val="pt-BR" w:eastAsia="sq-AL"/>
        </w:rPr>
      </w:r>
    </w:p>
    <w:p>
      <w:pPr>
        <w:pStyle w:val="Normal"/>
        <w:jc w:val="center"/>
        <w:rPr>
          <w:lang w:val="pt-BR" w:eastAsia="sq-AL"/>
        </w:rPr>
      </w:pPr>
      <w:r>
        <w:rPr>
          <w:lang w:val="pt-BR" w:eastAsia="sq-AL"/>
        </w:rPr>
        <w:t>K R Y E T A R</w:t>
      </w:r>
    </w:p>
    <w:p>
      <w:pPr>
        <w:pStyle w:val="Normal"/>
        <w:jc w:val="center"/>
        <w:rPr>
          <w:sz w:val="16"/>
          <w:szCs w:val="16"/>
          <w:lang w:val="pt-BR" w:eastAsia="sq-AL"/>
        </w:rPr>
      </w:pPr>
      <w:r>
        <w:rPr>
          <w:sz w:val="16"/>
          <w:szCs w:val="16"/>
          <w:lang w:val="pt-BR" w:eastAsia="sq-AL"/>
        </w:rPr>
      </w:r>
    </w:p>
    <w:p>
      <w:pPr>
        <w:pStyle w:val="Normal"/>
        <w:jc w:val="center"/>
        <w:rPr>
          <w:sz w:val="16"/>
          <w:szCs w:val="16"/>
          <w:lang w:val="pt-BR" w:eastAsia="sq-AL"/>
        </w:rPr>
      </w:pPr>
      <w:r>
        <w:rPr>
          <w:sz w:val="16"/>
          <w:szCs w:val="16"/>
          <w:lang w:val="pt-BR" w:eastAsia="sq-AL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sz w:val="16"/>
          <w:szCs w:val="16"/>
          <w:lang w:val="pt-BR" w:eastAsia="sq-AL"/>
        </w:rPr>
      </w:pPr>
      <w:r>
        <w:rPr>
          <w:sz w:val="16"/>
          <w:szCs w:val="16"/>
          <w:lang w:val="pt-BR" w:eastAsia="sq-AL"/>
        </w:rPr>
      </w:r>
    </w:p>
    <w:p>
      <w:pPr>
        <w:pStyle w:val="Normal"/>
        <w:jc w:val="center"/>
        <w:rPr>
          <w:lang w:val="sq-AL" w:eastAsia="sq-AL"/>
        </w:rPr>
      </w:pPr>
      <w:r>
        <w:rPr>
          <w:b/>
          <w:bCs/>
          <w:lang w:val="pt-BR" w:eastAsia="sq-AL"/>
        </w:rPr>
        <w:t>ALDRIN DALIPI</w:t>
      </w:r>
    </w:p>
    <w:p>
      <w:pPr>
        <w:pStyle w:val="NoSpacing"/>
        <w:spacing w:lineRule="auto" w:line="276"/>
        <w:rPr/>
      </w:pPr>
      <w:r>
        <w:rPr/>
      </w:r>
    </w:p>
    <w:sectPr>
      <w:footerReference w:type="default" r:id="rId4"/>
      <w:type w:val="nextPage"/>
      <w:pgSz w:w="11906" w:h="16838"/>
      <w:pgMar w:left="1701" w:right="1466" w:header="0" w:top="540" w:footer="9" w:bottom="4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02e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3">
    <w:name w:val="Heading 3"/>
    <w:basedOn w:val="Normal"/>
    <w:next w:val="Normal"/>
    <w:link w:val="Heading3Char"/>
    <w:qFormat/>
    <w:rsid w:val="009102ec"/>
    <w:pPr>
      <w:keepNext w:val="true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qFormat/>
    <w:rsid w:val="009102ec"/>
    <w:rPr>
      <w:rFonts w:ascii="Times New Roman" w:hAnsi="Times New Roman" w:eastAsia="Times New Roman" w:cs="Times New Roman"/>
      <w:b/>
      <w:sz w:val="24"/>
      <w:szCs w:val="24"/>
      <w:lang w:val="it-IT" w:eastAsia="it-IT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102ec"/>
    <w:rPr>
      <w:rFonts w:ascii="Times New Roman" w:hAnsi="Times New Roman" w:eastAsia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  <w:rPr/>
  </w:style>
  <w:style w:type="character" w:styleId="NoSpacingChar" w:customStyle="1">
    <w:name w:val="No Spacing Char"/>
    <w:link w:val="NoSpacing"/>
    <w:uiPriority w:val="1"/>
    <w:qFormat/>
    <w:rsid w:val="009102ec"/>
    <w:rPr>
      <w:rFonts w:ascii="Times New Roman" w:hAnsi="Times New Roman" w:eastAsia="Times New Roman" w:cs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56b83"/>
    <w:rPr>
      <w:rFonts w:ascii="Times New Roman" w:hAnsi="Times New Roman" w:eastAsia="Times New Roman" w:cs="Times New Roman"/>
      <w:sz w:val="24"/>
      <w:szCs w:val="24"/>
      <w:lang w:val="it-IT" w:eastAsia="it-IT"/>
    </w:rPr>
  </w:style>
  <w:style w:type="character" w:styleId="ListLabel1">
    <w:name w:val="ListLabel 1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9102ec"/>
    <w:pPr>
      <w:tabs>
        <w:tab w:val="center" w:pos="4819" w:leader="none"/>
        <w:tab w:val="right" w:pos="9638" w:leader="none"/>
      </w:tabs>
    </w:pPr>
    <w:rPr/>
  </w:style>
  <w:style w:type="paragraph" w:styleId="NoSpacing">
    <w:name w:val="No Spacing"/>
    <w:link w:val="NoSpacingChar"/>
    <w:uiPriority w:val="1"/>
    <w:qFormat/>
    <w:rsid w:val="009102e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56b83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A46B-C554-4C27-BDED-145D7ACD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LibreOffice/6.0.4.2$Windows_X86_64 LibreOffice_project/9b0d9b32d5dcda91d2f1a96dc04c645c450872bf</Application>
  <Pages>2</Pages>
  <Words>567</Words>
  <Characters>2997</Characters>
  <CharactersWithSpaces>3577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2018-02-14T14:09:00Z</dcterms:created>
  <dc:creator>Erlis Hoxha</dc:creator>
  <dc:description/>
  <dc:language>sq-AL</dc:language>
  <cp:lastModifiedBy/>
  <cp:lastPrinted>2018-02-23T08:09:00Z</cp:lastPrinted>
  <dcterms:modified xsi:type="dcterms:W3CDTF">2018-08-27T14:43:24Z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