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theme/theme1.xml" ContentType="application/vnd.openxmlformats-officedocument.theme+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sdt>
      <w:sdtPr>
        <w:docPartObj>
          <w:docPartGallery w:val="Cover Pages"/>
          <w:docPartUnique w:val="true"/>
        </w:docPartObj>
        <w:id w:val="878266554"/>
      </w:sdtPr>
      <w:sdtContent>
        <w:p>
          <w:pPr>
            <w:pStyle w:val="Normal"/>
            <w:spacing w:before="0" w:after="0"/>
            <w:jc w:val="center"/>
            <w:rPr>
              <w:rFonts w:ascii="Calibri" w:hAnsi="Calibri" w:cs="Calibri" w:asciiTheme="minorHAnsi" w:cstheme="minorHAnsi" w:hAnsiTheme="minorHAnsi"/>
              <w:lang w:val="sq-AL" w:eastAsia="en-US" w:bidi="ar-SA"/>
            </w:rPr>
          </w:pPr>
          <w:r>
            <w:rPr>
              <w:rFonts w:cs="Calibri" w:cstheme="minorHAnsi"/>
              <w:lang w:val="sq-AL" w:eastAsia="en-US" w:bidi="ar-SA"/>
            </w:rPr>
            <w:drawing>
              <wp:anchor behindDoc="0" distT="0" distB="0" distL="0" distR="0" simplePos="0" locked="0" layoutInCell="1" allowOverlap="1" relativeHeight="2">
                <wp:simplePos x="0" y="0"/>
                <wp:positionH relativeFrom="column">
                  <wp:posOffset>3810</wp:posOffset>
                </wp:positionH>
                <wp:positionV relativeFrom="margin">
                  <wp:posOffset>188595</wp:posOffset>
                </wp:positionV>
                <wp:extent cx="1343660" cy="1343660"/>
                <wp:effectExtent l="0" t="0" r="0" b="0"/>
                <wp:wrapSquare wrapText="bothSides"/>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1343660" cy="1343660"/>
                        </a:xfrm>
                        <a:prstGeom prst="rect">
                          <a:avLst/>
                        </a:prstGeom>
                      </pic:spPr>
                    </pic:pic>
                  </a:graphicData>
                </a:graphic>
              </wp:anchor>
            </w:drawing>
          </w:r>
        </w:p>
        <w:p>
          <w:pPr>
            <w:pStyle w:val="Normal"/>
            <w:spacing w:before="0" w:after="0"/>
            <w:rPr>
              <w:rFonts w:ascii="Calibri" w:hAnsi="Calibri" w:eastAsia="Times New Roman" w:cs="Calibri" w:asciiTheme="minorHAnsi" w:cstheme="minorHAnsi" w:hAnsiTheme="minorHAnsi"/>
              <w:b/>
              <w:b/>
              <w:bCs/>
              <w:sz w:val="28"/>
              <w:szCs w:val="24"/>
              <w:lang w:val="sq-AL" w:eastAsia="en-US" w:bidi="ar-SA"/>
            </w:rPr>
          </w:pPr>
          <w:r>
            <w:rPr>
              <w:rFonts w:eastAsia="Times New Roman" w:cs="Calibri" w:cstheme="minorHAnsi"/>
              <w:b/>
              <w:bCs/>
              <w:sz w:val="28"/>
              <w:szCs w:val="24"/>
              <w:lang w:val="sq-AL" w:eastAsia="en-US" w:bidi="ar-SA"/>
            </w:rPr>
          </w:r>
        </w:p>
      </w:sdtContent>
    </w:sdt>
    <w:p>
      <w:pPr>
        <w:pStyle w:val="Title"/>
        <w:spacing w:lineRule="auto" w:line="276"/>
        <w:rPr>
          <w:rFonts w:ascii="Calibri" w:hAnsi="Calibri" w:cs="Calibri" w:asciiTheme="minorHAnsi" w:cstheme="minorHAnsi" w:hAnsiTheme="minorHAnsi"/>
          <w:sz w:val="28"/>
          <w:lang w:val="sq-AL" w:eastAsia="en-US" w:bidi="ar-SA"/>
        </w:rPr>
      </w:pPr>
      <w:r>
        <w:rPr>
          <w:rFonts w:cs="Calibri" w:cstheme="minorHAnsi" w:ascii="Calibri" w:hAnsi="Calibri"/>
          <w:sz w:val="28"/>
          <w:lang w:val="sq-AL" w:eastAsia="en-US" w:bidi="ar-SA"/>
        </w:rPr>
      </w:r>
    </w:p>
    <w:p>
      <w:pPr>
        <w:pStyle w:val="Title"/>
        <w:spacing w:lineRule="auto" w:line="276"/>
        <w:rPr>
          <w:rFonts w:ascii="Calibri" w:hAnsi="Calibri" w:cs="Calibri" w:asciiTheme="minorHAnsi" w:cstheme="minorHAnsi" w:hAnsiTheme="minorHAnsi"/>
          <w:sz w:val="28"/>
          <w:lang w:val="sq-AL" w:eastAsia="en-US" w:bidi="ar-SA"/>
        </w:rPr>
      </w:pPr>
      <w:r>
        <w:rPr>
          <w:rFonts w:cs="Calibri" w:cstheme="minorHAnsi" w:ascii="Calibri" w:hAnsi="Calibri"/>
          <w:sz w:val="28"/>
          <w:lang w:val="sq-AL" w:eastAsia="en-US" w:bidi="ar-SA"/>
        </w:rPr>
      </w:r>
    </w:p>
    <w:p>
      <w:pPr>
        <w:pStyle w:val="Title"/>
        <w:spacing w:lineRule="auto" w:line="276"/>
        <w:rPr>
          <w:rFonts w:ascii="Calibri" w:hAnsi="Calibri" w:cs="Calibri" w:asciiTheme="minorHAnsi" w:cstheme="minorHAnsi" w:hAnsiTheme="minorHAnsi"/>
          <w:sz w:val="28"/>
          <w:lang w:val="sq-AL" w:eastAsia="en-US" w:bidi="ar-SA"/>
        </w:rPr>
      </w:pPr>
      <w:r>
        <w:rPr>
          <w:rFonts w:cs="Calibri" w:cstheme="minorHAnsi" w:ascii="Calibri" w:hAnsi="Calibri"/>
          <w:sz w:val="28"/>
          <w:lang w:val="sq-AL" w:eastAsia="en-US" w:bidi="ar-SA"/>
        </w:rPr>
      </w:r>
    </w:p>
    <w:p>
      <w:pPr>
        <w:pStyle w:val="Title"/>
        <w:spacing w:lineRule="auto" w:line="276"/>
        <w:rPr>
          <w:rFonts w:ascii="Calibri" w:hAnsi="Calibri" w:cs="Calibri" w:asciiTheme="minorHAnsi" w:cstheme="minorHAnsi" w:hAnsiTheme="minorHAnsi"/>
          <w:sz w:val="28"/>
          <w:lang w:val="sq-AL" w:eastAsia="en-US" w:bidi="ar-SA"/>
        </w:rPr>
      </w:pPr>
      <w:r>
        <w:rPr>
          <w:rFonts w:cs="Calibri" w:cstheme="minorHAnsi" w:ascii="Calibri" w:hAnsi="Calibri"/>
          <w:sz w:val="28"/>
          <w:lang w:val="sq-AL" w:eastAsia="en-US" w:bidi="ar-SA"/>
        </w:rPr>
      </w:r>
    </w:p>
    <w:p>
      <w:pPr>
        <w:pStyle w:val="Title"/>
        <w:numPr>
          <w:ilvl w:val="0"/>
          <w:numId w:val="0"/>
        </w:numPr>
        <w:spacing w:lineRule="auto" w:line="276"/>
        <w:ind w:left="-1120" w:firstLine="1120"/>
        <w:outlineLvl w:val="0"/>
        <w:rPr>
          <w:rFonts w:ascii="Calibri" w:hAnsi="Calibri" w:cs="Calibri" w:asciiTheme="minorHAnsi" w:cstheme="minorHAnsi" w:hAnsiTheme="minorHAnsi"/>
          <w:sz w:val="28"/>
          <w:lang w:val="sq-AL" w:eastAsia="en-US" w:bidi="ar-SA"/>
        </w:rPr>
      </w:pPr>
      <w:r>
        <w:rPr>
          <w:rFonts w:cs="Calibri" w:cstheme="minorHAnsi" w:ascii="Calibri" w:hAnsi="Calibri"/>
          <w:sz w:val="28"/>
          <w:lang w:val="sq-AL" w:eastAsia="en-US" w:bidi="ar-SA"/>
        </w:rPr>
      </w:r>
    </w:p>
    <w:p>
      <w:pPr>
        <w:pStyle w:val="Normal"/>
        <w:rPr>
          <w:b/>
          <w:b/>
          <w:sz w:val="32"/>
        </w:rPr>
      </w:pPr>
      <w:r>
        <w:rPr>
          <w:b/>
          <w:sz w:val="32"/>
          <w:lang w:val="sq-AL" w:eastAsia="en-US" w:bidi="ar-SA"/>
        </w:rPr>
        <w:t>BASHKIA E TIRANËS</w:t>
      </w:r>
    </w:p>
    <w:p>
      <w:pPr>
        <w:pStyle w:val="Normal"/>
        <w:spacing w:before="0" w:after="0"/>
        <w:rPr>
          <w:sz w:val="28"/>
        </w:rPr>
      </w:pPr>
      <w:r>
        <w:rPr>
          <w:sz w:val="28"/>
          <w:lang w:val="sq-AL" w:eastAsia="en-US" w:bidi="ar-SA"/>
        </w:rPr>
        <w:t>DREJTORIA E PËRGJITHSHME</w:t>
      </w:r>
    </w:p>
    <w:p>
      <w:pPr>
        <w:pStyle w:val="Normal"/>
        <w:spacing w:before="0" w:after="0"/>
        <w:rPr>
          <w:sz w:val="28"/>
        </w:rPr>
      </w:pPr>
      <w:r>
        <w:rPr>
          <w:sz w:val="28"/>
          <w:lang w:val="sq-AL" w:eastAsia="en-US" w:bidi="ar-SA"/>
        </w:rPr>
        <w:t>E PLANIFIKIMIT DHE ZHVILLIMIT TË TERRITORIT</w:t>
      </w:r>
    </w:p>
    <w:p>
      <w:pPr>
        <w:pStyle w:val="Normal"/>
        <w:rPr>
          <w:sz w:val="24"/>
          <w:szCs w:val="24"/>
          <w:lang w:val="sq-AL" w:eastAsia="en-US" w:bidi="ar-SA"/>
        </w:rPr>
      </w:pPr>
      <w:r>
        <w:rPr>
          <w:sz w:val="24"/>
          <w:szCs w:val="24"/>
          <w:lang w:val="sq-AL" w:eastAsia="en-US" w:bidi="ar-SA"/>
        </w:rPr>
      </w:r>
    </w:p>
    <w:p>
      <w:pPr>
        <w:pStyle w:val="Normal"/>
        <w:rPr>
          <w:sz w:val="24"/>
          <w:szCs w:val="24"/>
          <w:lang w:val="sq-AL" w:eastAsia="en-US" w:bidi="ar-SA"/>
        </w:rPr>
      </w:pPr>
      <w:r>
        <w:rPr>
          <w:sz w:val="24"/>
          <w:szCs w:val="24"/>
          <w:lang w:val="sq-AL" w:eastAsia="en-US" w:bidi="ar-SA"/>
        </w:rPr>
      </w:r>
    </w:p>
    <w:p>
      <w:pPr>
        <w:pStyle w:val="Normal"/>
        <w:rPr>
          <w:sz w:val="24"/>
          <w:szCs w:val="24"/>
          <w:lang w:val="sq-AL" w:eastAsia="en-US" w:bidi="ar-SA"/>
        </w:rPr>
      </w:pPr>
      <w:r>
        <w:rPr>
          <w:sz w:val="24"/>
          <w:szCs w:val="24"/>
          <w:lang w:val="sq-AL" w:eastAsia="en-US" w:bidi="ar-SA"/>
        </w:rPr>
      </w:r>
    </w:p>
    <w:p>
      <w:pPr>
        <w:pStyle w:val="Normal"/>
        <w:rPr>
          <w:sz w:val="24"/>
          <w:szCs w:val="24"/>
          <w:lang w:val="sq-AL" w:eastAsia="en-US" w:bidi="ar-SA"/>
        </w:rPr>
      </w:pPr>
      <w:r>
        <w:rPr>
          <w:sz w:val="24"/>
          <w:szCs w:val="24"/>
          <w:lang w:val="sq-AL" w:eastAsia="en-US" w:bidi="ar-SA"/>
        </w:rPr>
      </w:r>
    </w:p>
    <w:p>
      <w:pPr>
        <w:pStyle w:val="Normal"/>
        <w:rPr>
          <w:sz w:val="24"/>
          <w:szCs w:val="24"/>
          <w:lang w:val="sq-AL" w:eastAsia="en-US" w:bidi="ar-SA"/>
        </w:rPr>
      </w:pPr>
      <w:r>
        <w:rPr>
          <w:sz w:val="24"/>
          <w:szCs w:val="24"/>
          <w:lang w:val="sq-AL" w:eastAsia="en-US" w:bidi="ar-SA"/>
        </w:rPr>
      </w:r>
    </w:p>
    <w:p>
      <w:pPr>
        <w:pStyle w:val="Normal"/>
        <w:rPr>
          <w:b/>
          <w:b/>
          <w:sz w:val="48"/>
          <w:szCs w:val="24"/>
        </w:rPr>
      </w:pPr>
      <w:r>
        <w:rPr>
          <w:b/>
          <w:sz w:val="48"/>
          <w:szCs w:val="24"/>
          <w:lang w:val="sq-AL" w:eastAsia="en-US" w:bidi="ar-SA"/>
        </w:rPr>
        <w:t>RELACION</w:t>
      </w:r>
    </w:p>
    <w:p>
      <w:pPr>
        <w:pStyle w:val="Normal"/>
        <w:rPr>
          <w:sz w:val="24"/>
          <w:szCs w:val="24"/>
          <w:lang w:val="sq-AL" w:eastAsia="en-US" w:bidi="ar-SA"/>
        </w:rPr>
      </w:pPr>
      <w:r>
        <w:rPr>
          <w:sz w:val="24"/>
          <w:szCs w:val="24"/>
          <w:lang w:val="sq-AL" w:eastAsia="en-US" w:bidi="ar-SA"/>
        </w:rPr>
      </w:r>
    </w:p>
    <w:p>
      <w:pPr>
        <w:pStyle w:val="Normal"/>
        <w:spacing w:before="0" w:after="0"/>
        <w:rPr>
          <w:b/>
          <w:b/>
          <w:sz w:val="32"/>
          <w:szCs w:val="24"/>
        </w:rPr>
      </w:pPr>
      <w:r>
        <w:rPr>
          <w:b/>
          <w:sz w:val="32"/>
          <w:szCs w:val="24"/>
          <w:lang w:val="sq-AL" w:eastAsia="en-US" w:bidi="ar-SA"/>
        </w:rPr>
        <w:t>PLANI I DETAJUAR VENDOR</w:t>
      </w:r>
    </w:p>
    <w:p>
      <w:pPr>
        <w:pStyle w:val="Normal"/>
        <w:spacing w:before="0" w:after="0"/>
        <w:rPr>
          <w:sz w:val="32"/>
          <w:szCs w:val="24"/>
        </w:rPr>
      </w:pPr>
      <w:r>
        <w:rPr>
          <w:b/>
          <w:sz w:val="32"/>
          <w:szCs w:val="24"/>
          <w:lang w:val="sq-AL" w:eastAsia="en-US" w:bidi="ar-SA"/>
        </w:rPr>
        <w:t>NJËSIA STRUKTURORE TR/346 (Faza II)</w:t>
      </w:r>
    </w:p>
    <w:p>
      <w:pPr>
        <w:pStyle w:val="Normal"/>
        <w:spacing w:before="0" w:after="0"/>
        <w:rPr>
          <w:lang w:val="sq-AL" w:eastAsia="en-US" w:bidi="ar-SA"/>
        </w:rPr>
      </w:pPr>
      <w:r>
        <w:rPr>
          <w:sz w:val="32"/>
          <w:szCs w:val="24"/>
          <w:lang w:val="sq-AL" w:eastAsia="en-US" w:bidi="ar-SA"/>
        </w:rPr>
        <w:t xml:space="preserve">NËN-NJËSIA </w:t>
      </w:r>
      <w:r>
        <w:rPr>
          <w:sz w:val="32"/>
          <w:szCs w:val="24"/>
          <w:lang w:val="sq-AL" w:eastAsia="en-US" w:bidi="ar-SA"/>
        </w:rPr>
        <w:t>1</w:t>
      </w:r>
    </w:p>
    <w:p>
      <w:pPr>
        <w:pStyle w:val="Normal"/>
        <w:rPr>
          <w:b/>
          <w:b/>
          <w:color w:val="FF0000"/>
          <w:sz w:val="32"/>
          <w:szCs w:val="24"/>
          <w:lang w:val="sq-AL" w:eastAsia="en-US" w:bidi="ar-SA"/>
        </w:rPr>
      </w:pPr>
      <w:r>
        <w:rPr>
          <w:b/>
          <w:color w:val="FF0000"/>
          <w:sz w:val="32"/>
          <w:szCs w:val="24"/>
          <w:lang w:val="sq-AL" w:eastAsia="en-US" w:bidi="ar-SA"/>
        </w:rPr>
      </w:r>
    </w:p>
    <w:p>
      <w:pPr>
        <w:pStyle w:val="Normal"/>
        <w:rPr>
          <w:b/>
          <w:b/>
          <w:color w:val="FF0000"/>
          <w:sz w:val="32"/>
          <w:szCs w:val="24"/>
          <w:lang w:val="sq-AL" w:eastAsia="en-US" w:bidi="ar-SA"/>
        </w:rPr>
      </w:pPr>
      <w:r>
        <w:rPr>
          <w:b/>
          <w:color w:val="FF0000"/>
          <w:sz w:val="32"/>
          <w:szCs w:val="24"/>
          <w:lang w:val="sq-AL" w:eastAsia="en-US" w:bidi="ar-SA"/>
        </w:rPr>
      </w:r>
    </w:p>
    <w:p>
      <w:pPr>
        <w:pStyle w:val="Normal"/>
        <w:rPr>
          <w:b/>
          <w:b/>
          <w:color w:val="FF0000"/>
          <w:sz w:val="32"/>
          <w:szCs w:val="24"/>
          <w:lang w:val="sq-AL" w:eastAsia="en-US" w:bidi="ar-SA"/>
        </w:rPr>
      </w:pPr>
      <w:r>
        <w:rPr>
          <w:b/>
          <w:color w:val="FF0000"/>
          <w:sz w:val="32"/>
          <w:szCs w:val="24"/>
          <w:lang w:val="sq-AL" w:eastAsia="en-US" w:bidi="ar-SA"/>
        </w:rPr>
      </w:r>
    </w:p>
    <w:p>
      <w:pPr>
        <w:pStyle w:val="Normal"/>
        <w:rPr>
          <w:b/>
          <w:b/>
          <w:color w:val="FF0000"/>
          <w:sz w:val="32"/>
          <w:szCs w:val="24"/>
          <w:lang w:val="sq-AL" w:eastAsia="en-US" w:bidi="ar-SA"/>
        </w:rPr>
      </w:pPr>
      <w:r>
        <w:rPr>
          <w:b/>
          <w:color w:val="FF0000"/>
          <w:sz w:val="32"/>
          <w:szCs w:val="24"/>
          <w:lang w:val="sq-AL" w:eastAsia="en-US" w:bidi="ar-SA"/>
        </w:rPr>
      </w:r>
    </w:p>
    <w:p>
      <w:pPr>
        <w:pStyle w:val="Normal"/>
        <w:rPr>
          <w:lang w:val="sq-AL" w:eastAsia="en-US" w:bidi="ar-SA"/>
        </w:rPr>
      </w:pPr>
      <w:r>
        <w:rPr>
          <w:lang w:val="sq-AL" w:eastAsia="en-US" w:bidi="ar-SA"/>
        </w:rPr>
      </w:r>
    </w:p>
    <w:p>
      <w:pPr>
        <w:pStyle w:val="Normal"/>
        <w:spacing w:before="0" w:after="0"/>
        <w:jc w:val="both"/>
        <w:rPr>
          <w:rFonts w:cs="Calibri"/>
          <w:b/>
          <w:b/>
        </w:rPr>
      </w:pPr>
      <w:r>
        <w:rPr>
          <w:rFonts w:cs="Calibri"/>
          <w:b/>
          <w:sz w:val="24"/>
          <w:lang w:val="sq-AL" w:eastAsia="en-US" w:bidi="ar-SA"/>
        </w:rPr>
        <w:t>HARTOI:</w:t>
        <w:tab/>
        <w:tab/>
        <w:tab/>
        <w:tab/>
        <w:tab/>
        <w:tab/>
        <w:tab/>
      </w:r>
      <w:r>
        <w:rPr>
          <w:rFonts w:cs="Calibri"/>
          <w:b/>
          <w:lang w:val="sq-AL" w:eastAsia="en-US" w:bidi="ar-SA"/>
        </w:rPr>
        <w:t>PRANOI:</w:t>
      </w:r>
    </w:p>
    <w:p>
      <w:pPr>
        <w:pStyle w:val="Normal"/>
        <w:spacing w:before="0" w:after="0"/>
        <w:jc w:val="both"/>
        <w:rPr>
          <w:rFonts w:cs="Calibri"/>
        </w:rPr>
      </w:pPr>
      <w:r>
        <w:rPr>
          <w:rFonts w:cs="Calibri"/>
          <w:sz w:val="24"/>
          <w:lang w:val="sq-AL" w:eastAsia="en-US" w:bidi="ar-SA"/>
        </w:rPr>
        <w:t>Plan.Urbane Iva Tavanxhiu</w:t>
        <w:tab/>
        <w:tab/>
        <w:tab/>
        <w:tab/>
        <w:tab/>
      </w:r>
      <w:r>
        <w:rPr>
          <w:rFonts w:cs="Calibri"/>
          <w:lang w:val="sq-AL" w:eastAsia="en-US" w:bidi="ar-SA"/>
        </w:rPr>
        <w:t xml:space="preserve">Përgj.sektori SMP: Devis Agaraj </w:t>
      </w:r>
    </w:p>
    <w:p>
      <w:pPr>
        <w:pStyle w:val="Normal"/>
        <w:spacing w:before="0" w:after="0"/>
        <w:jc w:val="both"/>
        <w:rPr>
          <w:rFonts w:cs="Calibri"/>
        </w:rPr>
      </w:pPr>
      <w:r>
        <w:rPr>
          <w:rFonts w:cs="Calibri"/>
          <w:sz w:val="24"/>
          <w:lang w:val="sq-AL" w:eastAsia="en-US" w:bidi="ar-SA"/>
        </w:rPr>
        <w:t xml:space="preserve">Ark. </w:t>
      </w:r>
      <w:r>
        <w:rPr>
          <w:rFonts w:cs="Calibri"/>
          <w:sz w:val="24"/>
          <w:lang w:val="sq-AL" w:eastAsia="en-US" w:bidi="ar-SA"/>
        </w:rPr>
        <w:t>Anisa Stasa</w:t>
      </w:r>
      <w:r>
        <w:rPr>
          <w:rFonts w:cs="Calibri"/>
          <w:sz w:val="24"/>
          <w:lang w:val="sq-AL" w:eastAsia="en-US" w:bidi="ar-SA"/>
        </w:rPr>
        <w:tab/>
        <w:tab/>
        <w:tab/>
        <w:tab/>
        <w:tab/>
        <w:tab/>
      </w:r>
      <w:r>
        <w:rPr>
          <w:rFonts w:cs="Calibri"/>
          <w:lang w:val="sq-AL" w:eastAsia="en-US" w:bidi="ar-SA"/>
        </w:rPr>
        <w:t>Përgj.sektori SMP: Eva Hoxha</w:t>
      </w:r>
    </w:p>
    <w:p>
      <w:pPr>
        <w:pStyle w:val="Normal"/>
        <w:spacing w:before="0" w:after="0"/>
        <w:ind w:left="5040" w:firstLine="720"/>
        <w:jc w:val="both"/>
        <w:rPr>
          <w:rFonts w:cs="Calibri"/>
          <w:lang w:val="sq-AL" w:eastAsia="en-US" w:bidi="ar-SA"/>
        </w:rPr>
      </w:pPr>
      <w:r>
        <w:rPr>
          <w:rFonts w:cs="Calibri"/>
          <w:lang w:val="sq-AL" w:eastAsia="en-US" w:bidi="ar-SA"/>
        </w:rPr>
      </w:r>
    </w:p>
    <w:sdt>
      <w:sdtPr>
        <w:docPartObj>
          <w:docPartGallery w:val="Table of Contents"/>
          <w:docPartUnique w:val="true"/>
        </w:docPartObj>
        <w:id w:val="2101086955"/>
      </w:sdtPr>
      <w:sdtContent>
        <w:p>
          <w:pPr>
            <w:pStyle w:val="TOCHeading"/>
            <w:rPr>
              <w:rFonts w:ascii="Calibri" w:hAnsi="Calibri" w:cs="Calibri"/>
              <w:b/>
              <w:b/>
              <w:color w:val="auto"/>
              <w:sz w:val="28"/>
              <w:szCs w:val="22"/>
              <w:lang w:val="sq-AL"/>
            </w:rPr>
          </w:pPr>
          <w:r>
            <w:rPr>
              <w:rFonts w:cs="Calibri" w:ascii="Calibri" w:hAnsi="Calibri"/>
              <w:b/>
              <w:color w:val="auto"/>
              <w:sz w:val="28"/>
              <w:szCs w:val="22"/>
              <w:lang w:val="sq-AL" w:eastAsia="en-US" w:bidi="ar-SA"/>
            </w:rPr>
            <w:t xml:space="preserve">Tabela e përmbajtjes </w:t>
          </w:r>
        </w:p>
        <w:p>
          <w:pPr>
            <w:pStyle w:val="Normal"/>
            <w:rPr>
              <w:lang w:val="sq-AL" w:eastAsia="en-US" w:bidi="ar-SA"/>
            </w:rPr>
          </w:pPr>
          <w:r>
            <w:rPr>
              <w:lang w:val="sq-AL" w:eastAsia="en-US" w:bidi="ar-SA"/>
            </w:rPr>
          </w:r>
        </w:p>
        <w:p>
          <w:pPr>
            <w:pStyle w:val="Contents1"/>
            <w:tabs>
              <w:tab w:val="clear" w:pos="720"/>
              <w:tab w:val="right" w:pos="9026" w:leader="dot"/>
            </w:tabs>
            <w:rPr/>
          </w:pPr>
          <w:r>
            <w:fldChar w:fldCharType="begin"/>
          </w:r>
          <w:r>
            <w:rPr>
              <w:webHidden/>
              <w:rStyle w:val="IndexLink"/>
              <w:vanish w:val="false"/>
            </w:rPr>
            <w:instrText> TOC \z \o "1-3" \u \h</w:instrText>
          </w:r>
          <w:r>
            <w:rPr>
              <w:webHidden/>
              <w:rStyle w:val="IndexLink"/>
              <w:vanish w:val="false"/>
            </w:rPr>
            <w:fldChar w:fldCharType="separate"/>
          </w:r>
          <w:hyperlink w:anchor="__RefHeading___Toc2514_2015891183">
            <w:r>
              <w:rPr>
                <w:webHidden/>
                <w:rStyle w:val="IndexLink"/>
                <w:vanish w:val="false"/>
                <w:lang w:val="sq-AL" w:eastAsia="en-US" w:bidi="ar-SA"/>
              </w:rPr>
              <w:t>HYRJE</w:t>
              <w:tab/>
              <w:t>2</w:t>
            </w:r>
          </w:hyperlink>
        </w:p>
        <w:p>
          <w:pPr>
            <w:pStyle w:val="Contents1"/>
            <w:tabs>
              <w:tab w:val="clear" w:pos="720"/>
              <w:tab w:val="right" w:pos="9026" w:leader="dot"/>
            </w:tabs>
            <w:rPr/>
          </w:pPr>
          <w:hyperlink w:anchor="__RefHeading___Toc2516_2015891183">
            <w:r>
              <w:rPr>
                <w:webHidden/>
                <w:rStyle w:val="IndexLink"/>
                <w:vanish w:val="false"/>
                <w:lang w:val="sq-AL" w:eastAsia="en-US" w:bidi="ar-SA"/>
              </w:rPr>
              <w:t>Përmbledhje Ligjore</w:t>
              <w:tab/>
              <w:t>2</w:t>
            </w:r>
          </w:hyperlink>
        </w:p>
        <w:p>
          <w:pPr>
            <w:pStyle w:val="Contents1"/>
            <w:tabs>
              <w:tab w:val="clear" w:pos="720"/>
              <w:tab w:val="right" w:pos="9026" w:leader="dot"/>
            </w:tabs>
            <w:rPr/>
          </w:pPr>
          <w:hyperlink w:anchor="__RefHeading___Toc2518_2015891183">
            <w:r>
              <w:rPr>
                <w:webHidden/>
                <w:rStyle w:val="IndexLink"/>
                <w:vanish w:val="false"/>
                <w:lang w:val="sq-AL" w:eastAsia="en-US" w:bidi="ar-SA"/>
              </w:rPr>
              <w:t>Qëllimi i dokumentit dhe metodologjia</w:t>
              <w:tab/>
              <w:t>6</w:t>
            </w:r>
          </w:hyperlink>
        </w:p>
        <w:p>
          <w:pPr>
            <w:pStyle w:val="Contents1"/>
            <w:tabs>
              <w:tab w:val="clear" w:pos="720"/>
              <w:tab w:val="right" w:pos="9026" w:leader="dot"/>
            </w:tabs>
            <w:rPr/>
          </w:pPr>
          <w:hyperlink w:anchor="__RefHeading___Toc2520_2015891183">
            <w:r>
              <w:rPr>
                <w:webHidden/>
                <w:rStyle w:val="IndexLink"/>
                <w:vanish w:val="false"/>
                <w:lang w:val="sq-AL" w:eastAsia="en-US" w:bidi="ar-SA"/>
              </w:rPr>
              <w:t>1. Pozicioni i nën-njësisë në raport me njësinë strukturore</w:t>
              <w:tab/>
              <w:t>9</w:t>
            </w:r>
          </w:hyperlink>
        </w:p>
        <w:p>
          <w:pPr>
            <w:pStyle w:val="Contents1"/>
            <w:tabs>
              <w:tab w:val="clear" w:pos="720"/>
              <w:tab w:val="right" w:pos="9026" w:leader="dot"/>
            </w:tabs>
            <w:rPr/>
          </w:pPr>
          <w:hyperlink w:anchor="__RefHeading___Toc2522_2015891183">
            <w:r>
              <w:rPr>
                <w:webHidden/>
                <w:rStyle w:val="IndexLink"/>
                <w:vanish w:val="false"/>
                <w:lang w:val="sq-AL" w:eastAsia="en-US" w:bidi="ar-SA"/>
              </w:rPr>
              <w:t>2. Treguesit e përgjithshëm</w:t>
              <w:tab/>
              <w:t>10</w:t>
            </w:r>
          </w:hyperlink>
        </w:p>
        <w:p>
          <w:pPr>
            <w:pStyle w:val="Contents1"/>
            <w:tabs>
              <w:tab w:val="clear" w:pos="720"/>
              <w:tab w:val="right" w:pos="9026" w:leader="dot"/>
            </w:tabs>
            <w:rPr/>
          </w:pPr>
          <w:hyperlink w:anchor="__RefHeading___Toc2524_2015891183">
            <w:r>
              <w:rPr>
                <w:webHidden/>
                <w:rStyle w:val="IndexLink"/>
                <w:vanish w:val="false"/>
                <w:lang w:val="sq-AL" w:eastAsia="en-US" w:bidi="ar-SA"/>
              </w:rPr>
              <w:t>3. Përdorimi i propozuar i tokës</w:t>
              <w:tab/>
              <w:t>12</w:t>
            </w:r>
          </w:hyperlink>
        </w:p>
        <w:p>
          <w:pPr>
            <w:pStyle w:val="Contents1"/>
            <w:tabs>
              <w:tab w:val="clear" w:pos="720"/>
              <w:tab w:val="right" w:pos="9026" w:leader="dot"/>
            </w:tabs>
            <w:rPr/>
          </w:pPr>
          <w:hyperlink w:anchor="__RefHeading___Toc2526_2015891183">
            <w:r>
              <w:rPr>
                <w:webHidden/>
                <w:rStyle w:val="IndexLink"/>
                <w:vanish w:val="false"/>
                <w:lang w:val="sq-AL" w:eastAsia="en-US" w:bidi="ar-SA"/>
              </w:rPr>
              <w:t>4. Pronësia mbi truallin</w:t>
              <w:tab/>
              <w:t>12</w:t>
            </w:r>
          </w:hyperlink>
        </w:p>
        <w:p>
          <w:pPr>
            <w:pStyle w:val="Contents1"/>
            <w:tabs>
              <w:tab w:val="clear" w:pos="720"/>
              <w:tab w:val="right" w:pos="9026" w:leader="dot"/>
            </w:tabs>
            <w:rPr/>
          </w:pPr>
          <w:hyperlink w:anchor="__RefHeading___Toc2528_2015891183">
            <w:r>
              <w:rPr>
                <w:webHidden/>
                <w:rStyle w:val="IndexLink"/>
                <w:vanish w:val="false"/>
                <w:lang w:val="sq-AL" w:eastAsia="en-US" w:bidi="ar-SA"/>
              </w:rPr>
              <w:t>5. Planimetria e përgjitshme e studimit</w:t>
              <w:tab/>
              <w:t>14</w:t>
            </w:r>
          </w:hyperlink>
        </w:p>
        <w:p>
          <w:pPr>
            <w:pStyle w:val="Contents1"/>
            <w:tabs>
              <w:tab w:val="clear" w:pos="720"/>
              <w:tab w:val="right" w:pos="9026" w:leader="dot"/>
            </w:tabs>
            <w:rPr/>
          </w:pPr>
          <w:hyperlink w:anchor="__RefHeading___Toc2530_2015891183">
            <w:r>
              <w:rPr>
                <w:webHidden/>
                <w:rStyle w:val="IndexLink"/>
                <w:vanish w:val="false"/>
                <w:lang w:val="sq-AL" w:eastAsia="en-US" w:bidi="ar-SA"/>
              </w:rPr>
              <w:t>Lista e figurave:</w:t>
              <w:tab/>
              <w:t>17</w:t>
            </w:r>
          </w:hyperlink>
        </w:p>
      </w:sdtContent>
    </w:sdt>
    <w:p>
      <w:pPr>
        <w:pStyle w:val="Heading1"/>
        <w:spacing w:before="0" w:after="0"/>
        <w:rPr>
          <w:rFonts w:ascii="Calibri" w:hAnsi="Calibri" w:cs="Calibri" w:asciiTheme="minorHAnsi" w:cstheme="minorHAnsi" w:hAnsiTheme="minorHAnsi"/>
          <w:b/>
          <w:b/>
          <w:color w:val="auto"/>
          <w:sz w:val="24"/>
          <w:szCs w:val="24"/>
          <w:lang w:val="sq-AL" w:eastAsia="en-US" w:bidi="ar-SA"/>
        </w:rPr>
      </w:pPr>
      <w:r>
        <w:rPr>
          <w:rFonts w:cs="Calibri" w:cstheme="minorHAnsi" w:ascii="Calibri" w:hAnsi="Calibri"/>
          <w:b/>
          <w:color w:val="auto"/>
          <w:sz w:val="24"/>
          <w:szCs w:val="24"/>
          <w:lang w:val="sq-AL" w:eastAsia="en-US" w:bidi="ar-SA"/>
        </w:rPr>
      </w:r>
      <w:r>
        <w:rPr>
          <w:sz w:val="24"/>
          <w:b/>
          <w:szCs w:val="24"/>
          <w:rFonts w:cs="Calibri" w:ascii="Calibri" w:hAnsi="Calibri"/>
        </w:rPr>
        <w:fldChar w:fldCharType="end"/>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Normal"/>
        <w:rPr>
          <w:lang w:val="sq-AL" w:eastAsia="en-US" w:bidi="ar-SA"/>
        </w:rPr>
      </w:pPr>
      <w:r>
        <w:rPr>
          <w:lang w:val="sq-AL" w:eastAsia="en-US" w:bidi="ar-SA"/>
        </w:rPr>
      </w:r>
    </w:p>
    <w:p>
      <w:pPr>
        <w:pStyle w:val="Heading1"/>
        <w:jc w:val="both"/>
        <w:rPr>
          <w:rFonts w:ascii="Calibri" w:hAnsi="Calibri" w:cs="Calibri"/>
          <w:color w:val="auto"/>
          <w:sz w:val="22"/>
          <w:szCs w:val="22"/>
        </w:rPr>
      </w:pPr>
      <w:bookmarkStart w:id="0" w:name="__RefHeading___Toc2514_2015891183"/>
      <w:bookmarkStart w:id="1" w:name="_Toc2684796"/>
      <w:bookmarkStart w:id="2" w:name="_Toc7778225"/>
      <w:bookmarkStart w:id="3" w:name="_Toc7790032"/>
      <w:bookmarkStart w:id="4" w:name="_GoBack"/>
      <w:bookmarkEnd w:id="0"/>
      <w:bookmarkEnd w:id="4"/>
      <w:r>
        <w:rPr>
          <w:rFonts w:cs="Calibri" w:ascii="Calibri" w:hAnsi="Calibri"/>
          <w:b/>
          <w:color w:val="auto"/>
          <w:sz w:val="22"/>
          <w:szCs w:val="22"/>
          <w:lang w:val="sq-AL" w:eastAsia="en-US" w:bidi="ar-SA"/>
        </w:rPr>
        <w:t>HYRJE</w:t>
      </w:r>
      <w:bookmarkEnd w:id="1"/>
      <w:bookmarkEnd w:id="2"/>
      <w:bookmarkEnd w:id="3"/>
    </w:p>
    <w:p>
      <w:pPr>
        <w:pStyle w:val="Heading1"/>
        <w:jc w:val="both"/>
        <w:rPr>
          <w:rFonts w:ascii="Calibri" w:hAnsi="Calibri" w:cs="Calibri"/>
          <w:color w:val="auto"/>
          <w:sz w:val="22"/>
          <w:szCs w:val="22"/>
        </w:rPr>
      </w:pPr>
      <w:bookmarkStart w:id="5" w:name="__RefHeading___Toc2516_2015891183"/>
      <w:bookmarkStart w:id="6" w:name="_Toc2684797"/>
      <w:bookmarkStart w:id="7" w:name="_Toc7778226"/>
      <w:bookmarkStart w:id="8" w:name="_Toc7790033"/>
      <w:bookmarkEnd w:id="5"/>
      <w:r>
        <w:rPr>
          <w:rFonts w:cs="Calibri" w:ascii="Calibri" w:hAnsi="Calibri"/>
          <w:b/>
          <w:color w:val="auto"/>
          <w:sz w:val="22"/>
          <w:szCs w:val="22"/>
          <w:lang w:val="sq-AL" w:eastAsia="en-US" w:bidi="ar-SA"/>
        </w:rPr>
        <w:t>Përmbledhje Ligjore</w:t>
      </w:r>
      <w:bookmarkEnd w:id="6"/>
      <w:bookmarkEnd w:id="7"/>
      <w:bookmarkEnd w:id="8"/>
    </w:p>
    <w:p>
      <w:pPr>
        <w:pStyle w:val="Normal"/>
        <w:jc w:val="both"/>
        <w:rPr>
          <w:rFonts w:cs="Calibri"/>
        </w:rPr>
      </w:pPr>
      <w:r>
        <w:rPr>
          <w:rFonts w:cs="Calibri"/>
          <w:lang w:val="sq-AL" w:eastAsia="en-US" w:bidi="ar-SA"/>
        </w:rPr>
        <w:t>Plani i Detajuar Vendor (PDV) i njësisë strukturore TR/346, është hartuar mbështetur në parashikimet e ligji nr. 107/2014 dt. 31/07/2014 (i ndryshuar) – “Për Planifikimin dhe Zhvillimin e Territorit”; VKM 686 dt.22/11/2017– “Për Miratimin e Rregullores së Planifikimit të Territorit”, VKM 408 dt. 13/05/2015 (i ndryshuar) – “Për Miratimin e Rregullores së Zhvillimit të Territorit” dhe Planin e Përgjithshëm Vendor të Bashkisë së Tiranë miratuar me VKKT nr.1, dt.14.04.17.</w:t>
      </w:r>
    </w:p>
    <w:p>
      <w:pPr>
        <w:pStyle w:val="Normal"/>
        <w:jc w:val="both"/>
        <w:rPr>
          <w:rFonts w:cs="Calibri"/>
        </w:rPr>
      </w:pPr>
      <w:r>
        <w:rPr>
          <w:rFonts w:cs="Calibri"/>
          <w:lang w:val="sq-AL" w:eastAsia="en-US" w:bidi="ar-SA"/>
        </w:rPr>
        <w:t>Më poshtë paraqitet një përmbledhje e shkurtër e bazës ligjore të mësipërme që do të shërbejë për hartimin e kësaj PDV-je:</w:t>
      </w:r>
    </w:p>
    <w:p>
      <w:pPr>
        <w:pStyle w:val="ListParagraph"/>
        <w:numPr>
          <w:ilvl w:val="0"/>
          <w:numId w:val="5"/>
        </w:numPr>
        <w:jc w:val="both"/>
        <w:rPr>
          <w:rFonts w:cs="Calibri"/>
          <w:b/>
          <w:b/>
        </w:rPr>
      </w:pPr>
      <w:r>
        <w:rPr>
          <w:rFonts w:cs="Calibri"/>
          <w:b/>
          <w:lang w:val="sq-AL" w:eastAsia="en-US" w:bidi="ar-SA"/>
        </w:rPr>
        <w:t>Ligji nr. 107/2014 dt. 31/07/2014 (i ndryshuar) – “Për Planifikimin dhe Zhvillimin e Territorit”</w:t>
      </w:r>
    </w:p>
    <w:p>
      <w:pPr>
        <w:pStyle w:val="Normal"/>
        <w:jc w:val="both"/>
        <w:rPr>
          <w:rFonts w:cs="Calibri"/>
        </w:rPr>
      </w:pPr>
      <w:r>
        <w:rPr>
          <w:rFonts w:cs="Calibri"/>
          <w:lang w:val="sq-AL" w:eastAsia="en-US" w:bidi="ar-SA"/>
        </w:rPr>
        <w:t>Ligji “Për Planifikimin dhe Zhvillimin e Territorit” ka për qëllim ndër të tjera të sigurojë zhvillimin e qëndrueshëm të territorit; të vlerësojë potencialin aktual e perspektiv për zhvillimin e territorit në nivel kombëtar e vendor; të nxitë veprimet e duhura për mbrojtjen, restaurimin dhe rritjen e cilësisë së trashëgimisë natyrore e kulturore; të mundësojë të drejtën e përdorimit e të zhvillimit të pronës; të krijojë kushte të përshtatshme e të drejta dhe shanse të barabarta për banim, veprimtari ekonomike e sociale për të gjitha kategoritë sociale, kohezion ekonomik e social dhe gëzim të të drejtave të pronësisë; të sigurojë që autoritetet kombëtare e vendore të planifikimit të hartojnë e të përditësojnë rregullisht dokumentet e planifikimit; të sigurojë që autoritetet e planifikimit të bashkërendojnë veprimtaritë e tyre planifikuese për të nxitur planifikimin e harmonizuar e të integruar të territorit.</w:t>
      </w:r>
    </w:p>
    <w:p>
      <w:pPr>
        <w:pStyle w:val="Normal"/>
        <w:jc w:val="both"/>
        <w:rPr>
          <w:rFonts w:cs="Calibri"/>
        </w:rPr>
      </w:pPr>
      <w:r>
        <w:rPr>
          <w:rFonts w:cs="Calibri"/>
          <w:lang w:val="sq-AL" w:eastAsia="en-US" w:bidi="ar-SA"/>
        </w:rPr>
        <w:t>Ky ligj përcakton Planin e Detajuar Vendor si dokumenti që detajon përcaktimet e planit të përgjithshëm vendor në nivelin e një ose disa njësive strukturore dhe përcakton kushtet për zhvillimin e një zone përmes lejeve të ndërtimit. Autoriteti i planifikimit vendor përcakton në planin e përgjithshëm të territorit zonat, të cilat do t’i nënshtrohen hartimit të planeve të detajuara vendore, mbi bazën e kritereve të përcaktuara në rregulloren e planifikimit. Në këtë rast, PDV-ja hartohet me nisëm publike, nga autoriteti vendor i Bashkisë së Tiranës.</w:t>
      </w:r>
    </w:p>
    <w:p>
      <w:pPr>
        <w:pStyle w:val="ListParagraph"/>
        <w:numPr>
          <w:ilvl w:val="0"/>
          <w:numId w:val="4"/>
        </w:numPr>
        <w:jc w:val="both"/>
        <w:rPr>
          <w:rFonts w:cs="Calibri"/>
          <w:b/>
          <w:b/>
        </w:rPr>
      </w:pPr>
      <w:r>
        <w:rPr>
          <w:rFonts w:cs="Calibri"/>
          <w:b/>
          <w:lang w:val="sq-AL" w:eastAsia="en-US" w:bidi="ar-SA"/>
        </w:rPr>
        <w:t>VKM 686 dt.22/11/2017– “Për Miratimin e Rregullores së Planifikimit të Territorit”</w:t>
      </w:r>
    </w:p>
    <w:p>
      <w:pPr>
        <w:pStyle w:val="Normal"/>
        <w:jc w:val="both"/>
        <w:rPr>
          <w:rFonts w:cs="Calibri"/>
          <w:color w:val="6F2F9F"/>
        </w:rPr>
      </w:pPr>
      <w:r>
        <w:rPr>
          <w:rFonts w:cs="Calibri"/>
          <w:lang w:val="sq-AL" w:eastAsia="en-US" w:bidi="ar-SA"/>
        </w:rPr>
        <w:t>Struktura, forma, pjesët përbërëse të përmbajtjes, procesi për nismën, informimin dhe takimet publike të detyrueshme, hartimin dhe miratimin e planit të detajuar vendor, kriteret për përcaktimin e kufijve të zonës që trajtohet me plan të detajuar vendor dhe kushte të tjera, përcaktohen në rregulloren e planifikimit të territorit.</w:t>
      </w:r>
    </w:p>
    <w:p>
      <w:pPr>
        <w:pStyle w:val="Normal"/>
        <w:jc w:val="both"/>
        <w:rPr>
          <w:rFonts w:cs="Calibri"/>
        </w:rPr>
      </w:pPr>
      <w:r>
        <w:rPr>
          <w:rFonts w:cs="Calibri"/>
          <w:lang w:val="sq-AL" w:eastAsia="en-US" w:bidi="ar-SA"/>
        </w:rPr>
        <w:t>Sipas seksionit 9, neni 68, dokumenti i PDV-së përmban:</w:t>
      </w:r>
    </w:p>
    <w:p>
      <w:pPr>
        <w:pStyle w:val="Normal"/>
        <w:jc w:val="both"/>
        <w:rPr>
          <w:rFonts w:cs="Calibri"/>
        </w:rPr>
      </w:pPr>
      <w:r>
        <w:rPr>
          <w:rFonts w:cs="Calibri"/>
          <w:b/>
          <w:lang w:val="sq-AL" w:eastAsia="en-US" w:bidi="ar-SA"/>
        </w:rPr>
        <w:t>a) planin e përcaktimeve territoriale</w:t>
      </w:r>
      <w:r>
        <w:rPr>
          <w:rFonts w:cs="Calibri"/>
          <w:lang w:val="sq-AL" w:eastAsia="en-US" w:bidi="ar-SA"/>
        </w:rPr>
        <w:t>, i shprehur në relacion dhe harta shoqëruese për pikat e mëposhtme:</w:t>
      </w:r>
    </w:p>
    <w:p>
      <w:pPr>
        <w:pStyle w:val="Normal"/>
        <w:jc w:val="both"/>
        <w:rPr>
          <w:rFonts w:cs="Calibri"/>
        </w:rPr>
      </w:pPr>
      <w:r>
        <w:rPr>
          <w:rFonts w:cs="Calibri"/>
          <w:lang w:val="sq-AL" w:eastAsia="en-US" w:bidi="ar-SA"/>
        </w:rPr>
        <w:t xml:space="preserve">i) analizën që paraprin përcaktimet territoriale; </w:t>
      </w:r>
    </w:p>
    <w:p>
      <w:pPr>
        <w:pStyle w:val="Normal"/>
        <w:jc w:val="both"/>
        <w:rPr>
          <w:rFonts w:cs="Calibri"/>
        </w:rPr>
      </w:pPr>
      <w:r>
        <w:rPr>
          <w:rFonts w:cs="Calibri"/>
          <w:lang w:val="sq-AL" w:eastAsia="en-US" w:bidi="ar-SA"/>
        </w:rPr>
        <w:t>ii) përcaktimin e nënnjësive brenda njësisë në përputhje me nenin 78 të kësaj rregulloreje;</w:t>
      </w:r>
    </w:p>
    <w:p>
      <w:pPr>
        <w:pStyle w:val="Normal"/>
        <w:jc w:val="both"/>
        <w:rPr>
          <w:rFonts w:cs="Calibri"/>
        </w:rPr>
      </w:pPr>
      <w:r>
        <w:rPr>
          <w:rFonts w:cs="Calibri"/>
          <w:lang w:val="sq-AL" w:eastAsia="en-US" w:bidi="ar-SA"/>
        </w:rPr>
        <w:t>iii) përcaktimet për përdorimin e tokës për çdo nënnjësi në nënkategori dhe funksione sipas kësaj rregulloreje;</w:t>
      </w:r>
    </w:p>
    <w:p>
      <w:pPr>
        <w:pStyle w:val="Normal"/>
        <w:jc w:val="both"/>
        <w:rPr>
          <w:rFonts w:cs="Calibri"/>
        </w:rPr>
      </w:pPr>
      <w:r>
        <w:rPr>
          <w:rFonts w:cs="Calibri"/>
          <w:lang w:val="sq-AL" w:eastAsia="en-US" w:bidi="ar-SA"/>
        </w:rPr>
        <w:t>iv) përcaktimet e infrastrukturave teknike, duke përfshirë ato të transportit, energjisë, telekomunikacionit dhe ujësjellës-kanalizimeve; v) përcaktimet e kushteve të zhvillimit për nënnjësitë, sipas rastit dhe/ose për parcelat;</w:t>
      </w:r>
    </w:p>
    <w:p>
      <w:pPr>
        <w:pStyle w:val="Normal"/>
        <w:jc w:val="both"/>
        <w:rPr>
          <w:rFonts w:cs="Calibri"/>
        </w:rPr>
      </w:pPr>
      <w:r>
        <w:rPr>
          <w:rFonts w:cs="Calibri"/>
          <w:lang w:val="sq-AL" w:eastAsia="en-US" w:bidi="ar-SA"/>
        </w:rPr>
        <w:t>vi) përcaktimet për zonat/objektet e mbrojtura të trashëgimisë kulturore, bazuar në   legjislacionin përkatës në fuqi, sipas rastit;</w:t>
      </w:r>
    </w:p>
    <w:p>
      <w:pPr>
        <w:pStyle w:val="Normal"/>
        <w:jc w:val="both"/>
        <w:rPr>
          <w:rFonts w:cs="Calibri"/>
        </w:rPr>
      </w:pPr>
      <w:r>
        <w:rPr>
          <w:rFonts w:cs="Calibri"/>
          <w:lang w:val="sq-AL" w:eastAsia="en-US" w:bidi="ar-SA"/>
        </w:rPr>
        <w:t>vi) programet  e përdorimit të instrumenteve të drejtimit të zhvillimit, bazuar në nenet 30-36 të ligjit, sipas rastit;</w:t>
      </w:r>
    </w:p>
    <w:p>
      <w:pPr>
        <w:pStyle w:val="Normal"/>
        <w:jc w:val="both"/>
        <w:rPr>
          <w:rFonts w:cs="Calibri"/>
        </w:rPr>
      </w:pPr>
      <w:r>
        <w:rPr>
          <w:rFonts w:cs="Calibri"/>
          <w:lang w:val="sq-AL" w:eastAsia="en-US" w:bidi="ar-SA"/>
        </w:rPr>
        <w:t>viii) planin për zbatimin e PDV-së – ndërtimin e infrastrukturave dhe shërbimeve publike, sipas parashikimeve të PPV-së.</w:t>
      </w:r>
    </w:p>
    <w:p>
      <w:pPr>
        <w:pStyle w:val="Normal"/>
        <w:jc w:val="both"/>
        <w:rPr>
          <w:rFonts w:cs="Calibri"/>
        </w:rPr>
      </w:pPr>
      <w:r>
        <w:rPr>
          <w:rFonts w:cs="Calibri"/>
          <w:b/>
          <w:lang w:val="sq-AL" w:eastAsia="en-US" w:bidi="ar-SA"/>
        </w:rPr>
        <w:t>b) Rregulloren e planit të detajuar</w:t>
      </w:r>
      <w:r>
        <w:rPr>
          <w:rFonts w:cs="Calibri"/>
          <w:lang w:val="sq-AL" w:eastAsia="en-US" w:bidi="ar-SA"/>
        </w:rPr>
        <w:t xml:space="preserve">, ku përfshihen: </w:t>
      </w:r>
    </w:p>
    <w:p>
      <w:pPr>
        <w:pStyle w:val="Normal"/>
        <w:jc w:val="both"/>
        <w:rPr>
          <w:rFonts w:cs="Calibri"/>
        </w:rPr>
      </w:pPr>
      <w:r>
        <w:rPr>
          <w:rFonts w:cs="Calibri"/>
          <w:lang w:val="sq-AL" w:eastAsia="en-US" w:bidi="ar-SA"/>
        </w:rPr>
        <w:t>i) përkufizimet e termave të përdorur;</w:t>
      </w:r>
    </w:p>
    <w:p>
      <w:pPr>
        <w:pStyle w:val="Normal"/>
        <w:jc w:val="both"/>
        <w:rPr>
          <w:rFonts w:cs="Calibri"/>
        </w:rPr>
      </w:pPr>
      <w:r>
        <w:rPr>
          <w:rFonts w:cs="Calibri"/>
          <w:lang w:val="sq-AL" w:eastAsia="en-US" w:bidi="ar-SA"/>
        </w:rPr>
        <w:t>ii) shpjegimi i kodeve të përdorura;</w:t>
      </w:r>
    </w:p>
    <w:p>
      <w:pPr>
        <w:pStyle w:val="Normal"/>
        <w:jc w:val="both"/>
        <w:rPr>
          <w:rFonts w:cs="Calibri"/>
        </w:rPr>
      </w:pPr>
      <w:r>
        <w:rPr>
          <w:rFonts w:cs="Calibri"/>
          <w:lang w:val="sq-AL" w:eastAsia="en-US" w:bidi="ar-SA"/>
        </w:rPr>
        <w:t>iii) rregullat, të dhënat dhe kushtet e zhvillimit për çdo nënnjësi, duke detajuar rregullat e paracaktuara për njësinë në PPV, sipas shtojcës II në fund të kësaj rregulloreje;</w:t>
      </w:r>
    </w:p>
    <w:p>
      <w:pPr>
        <w:pStyle w:val="Normal"/>
        <w:jc w:val="both"/>
        <w:rPr>
          <w:rFonts w:cs="Calibri"/>
        </w:rPr>
      </w:pPr>
      <w:r>
        <w:rPr>
          <w:rFonts w:cs="Calibri"/>
          <w:lang w:val="sq-AL" w:eastAsia="en-US" w:bidi="ar-SA"/>
        </w:rPr>
        <w:t xml:space="preserve">iv) rregulla për ndarjen dhe bashkimin e parcelave, sipas rastit; </w:t>
      </w:r>
    </w:p>
    <w:p>
      <w:pPr>
        <w:pStyle w:val="Normal"/>
        <w:jc w:val="both"/>
        <w:rPr>
          <w:rFonts w:cs="Calibri"/>
        </w:rPr>
      </w:pPr>
      <w:r>
        <w:rPr>
          <w:rFonts w:cs="Calibri"/>
          <w:lang w:val="sq-AL" w:eastAsia="en-US" w:bidi="ar-SA"/>
        </w:rPr>
        <w:t>v) rregulla për zbatimin e instrumenteve për drejtimin e zhvillimit sipas neneve 30–36 të ligjit,</w:t>
      </w:r>
    </w:p>
    <w:p>
      <w:pPr>
        <w:pStyle w:val="Normal"/>
        <w:jc w:val="both"/>
        <w:rPr>
          <w:rFonts w:cs="Calibri"/>
        </w:rPr>
      </w:pPr>
      <w:r>
        <w:rPr>
          <w:rFonts w:cs="Calibri"/>
          <w:lang w:val="sq-AL" w:eastAsia="en-US" w:bidi="ar-SA"/>
        </w:rPr>
        <w:t>sipas rastit;</w:t>
      </w:r>
    </w:p>
    <w:p>
      <w:pPr>
        <w:pStyle w:val="Normal"/>
        <w:jc w:val="both"/>
        <w:rPr>
          <w:rFonts w:cs="Calibri"/>
        </w:rPr>
      </w:pPr>
      <w:r>
        <w:rPr>
          <w:rFonts w:cs="Calibri"/>
          <w:lang w:val="sq-AL" w:eastAsia="en-US" w:bidi="ar-SA"/>
        </w:rPr>
        <w:t>vi) kushtet dhe rregullat teknike për zbatimin e infrastrukturave;</w:t>
      </w:r>
    </w:p>
    <w:p>
      <w:pPr>
        <w:pStyle w:val="Normal"/>
        <w:jc w:val="both"/>
        <w:rPr>
          <w:rFonts w:cs="Calibri"/>
        </w:rPr>
      </w:pPr>
      <w:r>
        <w:rPr>
          <w:rFonts w:cs="Calibri"/>
          <w:lang w:val="sq-AL" w:eastAsia="en-US" w:bidi="ar-SA"/>
        </w:rPr>
        <w:t>vii) rregullat për distancat, përcaktimi i vijës së kuqe dhe, sipas rastit, vijës blu;</w:t>
      </w:r>
    </w:p>
    <w:p>
      <w:pPr>
        <w:pStyle w:val="Normal"/>
        <w:jc w:val="both"/>
        <w:rPr>
          <w:rFonts w:cs="Calibri"/>
        </w:rPr>
      </w:pPr>
      <w:r>
        <w:rPr>
          <w:rFonts w:cs="Calibri"/>
          <w:lang w:val="sq-AL" w:eastAsia="en-US" w:bidi="ar-SA"/>
        </w:rPr>
        <w:t>viii) rregullat e mbrojtjes së mjedisit dhe peizazhit;</w:t>
      </w:r>
    </w:p>
    <w:p>
      <w:pPr>
        <w:pStyle w:val="Normal"/>
        <w:jc w:val="both"/>
        <w:rPr>
          <w:rFonts w:cs="Calibri"/>
        </w:rPr>
      </w:pPr>
      <w:r>
        <w:rPr>
          <w:rFonts w:cs="Calibri"/>
          <w:lang w:val="sq-AL" w:eastAsia="en-US" w:bidi="ar-SA"/>
        </w:rPr>
        <w:t xml:space="preserve"> </w:t>
      </w:r>
      <w:r>
        <w:rPr>
          <w:rFonts w:cs="Calibri"/>
          <w:lang w:val="sq-AL" w:eastAsia="en-US" w:bidi="ar-SA"/>
        </w:rPr>
        <w:t>ix) rregullat e ruajtjes së zonave, objekteve të trashëgimisë kulturore, sipas rastit.</w:t>
      </w:r>
    </w:p>
    <w:p>
      <w:pPr>
        <w:pStyle w:val="Normal"/>
        <w:jc w:val="both"/>
        <w:rPr>
          <w:rFonts w:cs="Calibri"/>
        </w:rPr>
      </w:pPr>
      <w:r>
        <w:rPr>
          <w:rFonts w:cs="Calibri"/>
          <w:lang w:val="sq-AL" w:eastAsia="en-US" w:bidi="ar-SA"/>
        </w:rPr>
        <w:t>x) rregulla arkitektonike;</w:t>
      </w:r>
    </w:p>
    <w:p>
      <w:pPr>
        <w:pStyle w:val="Normal"/>
        <w:jc w:val="both"/>
        <w:rPr>
          <w:rFonts w:cs="Calibri"/>
        </w:rPr>
      </w:pPr>
      <w:r>
        <w:rPr>
          <w:rFonts w:cs="Calibri"/>
          <w:lang w:val="sq-AL" w:eastAsia="en-US" w:bidi="ar-SA"/>
        </w:rPr>
        <w:t>xi) rregulla për përshtatjen e hapësirave për personat me aftësi të kufizuara.</w:t>
      </w:r>
    </w:p>
    <w:p>
      <w:pPr>
        <w:pStyle w:val="Normal"/>
        <w:jc w:val="both"/>
        <w:rPr>
          <w:rFonts w:cs="Calibri"/>
        </w:rPr>
      </w:pPr>
      <w:r>
        <w:rPr>
          <w:rFonts w:cs="Calibri"/>
          <w:b/>
          <w:lang w:val="sq-AL" w:eastAsia="en-US" w:bidi="ar-SA"/>
        </w:rPr>
        <w:t>c) Informacionin gjeohapësinor të integruar në platformën GIS</w:t>
      </w:r>
      <w:r>
        <w:rPr>
          <w:rFonts w:cs="Calibri"/>
          <w:lang w:val="sq-AL" w:eastAsia="en-US" w:bidi="ar-SA"/>
        </w:rPr>
        <w:t>, në përputhje me standardin e Regjistrit Kombëtar të Planifikimit të Territorit.</w:t>
      </w:r>
    </w:p>
    <w:p>
      <w:pPr>
        <w:pStyle w:val="Normal"/>
        <w:jc w:val="both"/>
        <w:rPr>
          <w:rFonts w:cs="Calibri"/>
          <w:color w:val="6F2F9F"/>
        </w:rPr>
      </w:pPr>
      <w:r>
        <w:rPr>
          <w:rFonts w:cs="Calibri"/>
          <w:lang w:val="sq-AL" w:eastAsia="en-US" w:bidi="ar-SA"/>
        </w:rPr>
        <w:t>Dokumenti i planit të detajuar vendor shoqërohet nga një dokument teknik i shpërndarjes së balancuar të të drejtave të zhvillimit, ku përcaktohen edhe raportet e përfitimeve nga zhvillimi, në mënyrë të drejtë dhe proporcionale me kontributin në zhvillim. Përfitimet, kontributi dhe kostot janë financiare ose të mira materiale që përfshijnë të drejtat për zhvillim dhe vlerën e rritur të tokës si rezultat i planifikimit ose investimeve publike.</w:t>
      </w:r>
    </w:p>
    <w:p>
      <w:pPr>
        <w:pStyle w:val="ListParagraph"/>
        <w:numPr>
          <w:ilvl w:val="0"/>
          <w:numId w:val="4"/>
        </w:numPr>
        <w:jc w:val="both"/>
        <w:rPr>
          <w:rFonts w:cs="Calibri"/>
          <w:b/>
          <w:b/>
        </w:rPr>
      </w:pPr>
      <w:r>
        <w:rPr>
          <w:rFonts w:cs="Calibri"/>
          <w:b/>
          <w:lang w:val="sq-AL" w:eastAsia="en-US" w:bidi="ar-SA"/>
        </w:rPr>
        <w:t xml:space="preserve">VKM 408 dt. 13/05/2015 (i ndryshuar) “Për Miratimin e Rregullores së Zhvillimit të Territorit” </w:t>
      </w:r>
    </w:p>
    <w:p>
      <w:pPr>
        <w:pStyle w:val="Normal"/>
        <w:jc w:val="both"/>
        <w:rPr>
          <w:rFonts w:cs="Calibri"/>
        </w:rPr>
      </w:pPr>
      <w:r>
        <w:rPr>
          <w:rFonts w:cs="Calibri"/>
          <w:lang w:val="sq-AL" w:eastAsia="en-US" w:bidi="ar-SA"/>
        </w:rPr>
        <w:t xml:space="preserve">Neni 28, 29, 30 dhe 31 i kësaj rregullore përcakton hapat për zbatimin e PDV-së dhe rastet e nëndarjes dhe bashkimit së parcelës për qëllime zhvillimi dhe detyrimet përkatëse. </w:t>
      </w:r>
    </w:p>
    <w:p>
      <w:pPr>
        <w:pStyle w:val="Normal"/>
        <w:jc w:val="both"/>
        <w:rPr>
          <w:rFonts w:cs="Calibri"/>
        </w:rPr>
      </w:pPr>
      <w:r>
        <w:rPr>
          <w:rFonts w:cs="Calibri"/>
          <w:lang w:val="sq-AL" w:eastAsia="en-US" w:bidi="ar-SA"/>
        </w:rPr>
        <w:t xml:space="preserve">Titulli III i kësaj rregullore, në nenin 32, 33, 34, 35, 36, 36, 37, 38, 39  dhe 40 përcakton kushtet bazë të zhvillimit në nivel njësie si treguesit e distancave, distancat minimale midis ndërtimeve, distancat e lejuara midis ndërtimit dhe kufirit të pronës, distancat e lejuara midis ndërtimit dhe trupit të rrugës, lartësia e ndërtimeve, intensiteti i ndërtimit, koeficienti i shfrytëzimit të territorit për ndërtim, koefiçientët e shfrytëzimit të tokës për rrugë dhe hapësira publike. </w:t>
      </w:r>
    </w:p>
    <w:p>
      <w:pPr>
        <w:pStyle w:val="Normal"/>
        <w:jc w:val="both"/>
        <w:rPr>
          <w:rFonts w:cs="Calibri"/>
        </w:rPr>
      </w:pPr>
      <w:r>
        <w:rPr>
          <w:rFonts w:cs="Calibri"/>
          <w:lang w:val="sq-AL" w:eastAsia="en-US" w:bidi="ar-SA"/>
        </w:rPr>
        <w:t>Titulli V, neni 41, 42, 43 dhe 44, përcakton instrumentet për drejtimin e zhvillimit të territorit, përkatësisht intensiteti i ndërtimit me kushte, transferimi i të drejtës për zhvillim, programi i transferimit të së drejtës për zhvillim, kushtet minimale të detyrueshme për transferimin e së drejtës për zhvillim.</w:t>
      </w:r>
    </w:p>
    <w:p>
      <w:pPr>
        <w:pStyle w:val="Normal"/>
        <w:jc w:val="both"/>
        <w:rPr>
          <w:rFonts w:cs="Calibri"/>
          <w:lang w:val="sq-AL" w:eastAsia="en-US" w:bidi="ar-SA"/>
        </w:rPr>
      </w:pPr>
      <w:r>
        <w:rPr>
          <w:rFonts w:cs="Calibri"/>
          <w:lang w:val="sq-AL" w:eastAsia="en-US" w:bidi="ar-SA"/>
        </w:rPr>
      </w:r>
    </w:p>
    <w:p>
      <w:pPr>
        <w:pStyle w:val="ListParagraph"/>
        <w:numPr>
          <w:ilvl w:val="0"/>
          <w:numId w:val="4"/>
        </w:numPr>
        <w:jc w:val="both"/>
        <w:rPr>
          <w:rFonts w:cs="Calibri"/>
          <w:b/>
          <w:b/>
        </w:rPr>
      </w:pPr>
      <w:r>
        <w:rPr>
          <w:rFonts w:cs="Calibri"/>
          <w:b/>
          <w:lang w:val="sq-AL" w:eastAsia="en-US" w:bidi="ar-SA"/>
        </w:rPr>
        <w:t>PPV Bashkia Tiranë</w:t>
      </w:r>
    </w:p>
    <w:p>
      <w:pPr>
        <w:pStyle w:val="Normal"/>
        <w:jc w:val="both"/>
        <w:rPr>
          <w:rFonts w:cs="Calibri"/>
        </w:rPr>
      </w:pPr>
      <w:r>
        <w:rPr>
          <w:rFonts w:cs="Calibri"/>
          <w:lang w:val="sq-AL" w:eastAsia="en-US" w:bidi="ar-SA"/>
        </w:rPr>
        <w:t xml:space="preserve">Plani i Përgjithshëm Vendor i Bashkisë së Tiranës, është baza ligjore që pë përcakton kuadrin referues të detyrueshëm për mbrojtjen dhe përdorimin e territorit administrativ të njësisë së kësaj bashkie. </w:t>
      </w:r>
    </w:p>
    <w:p>
      <w:pPr>
        <w:pStyle w:val="Normal"/>
        <w:jc w:val="both"/>
        <w:rPr>
          <w:rFonts w:cs="Calibri"/>
        </w:rPr>
      </w:pPr>
      <w:r>
        <w:rPr>
          <w:rFonts w:cs="Calibri"/>
          <w:lang w:val="sq-AL" w:eastAsia="en-US" w:bidi="ar-SA"/>
        </w:rPr>
        <w:t>Dokumentat përbërëse të këtij plani janë si vijon:</w:t>
      </w:r>
    </w:p>
    <w:p>
      <w:pPr>
        <w:pStyle w:val="Normal"/>
        <w:jc w:val="both"/>
        <w:rPr>
          <w:rFonts w:cs="Calibri"/>
        </w:rPr>
      </w:pPr>
      <w:r>
        <w:rPr>
          <w:rFonts w:cs="Calibri"/>
          <w:lang w:val="sq-AL" w:eastAsia="en-US" w:bidi="ar-SA"/>
        </w:rPr>
        <w:t xml:space="preserve">- Analiza dhe vlerësimi i territorit </w:t>
      </w:r>
    </w:p>
    <w:p>
      <w:pPr>
        <w:pStyle w:val="Normal"/>
        <w:jc w:val="both"/>
        <w:rPr>
          <w:rFonts w:cs="Calibri"/>
        </w:rPr>
      </w:pPr>
      <w:r>
        <w:rPr>
          <w:rFonts w:cs="Calibri"/>
          <w:lang w:val="sq-AL" w:eastAsia="en-US" w:bidi="ar-SA"/>
        </w:rPr>
        <w:t>- strategjia territoriale</w:t>
      </w:r>
    </w:p>
    <w:p>
      <w:pPr>
        <w:pStyle w:val="Normal"/>
        <w:jc w:val="both"/>
        <w:rPr>
          <w:rFonts w:cs="Calibri"/>
        </w:rPr>
      </w:pPr>
      <w:r>
        <w:rPr>
          <w:rFonts w:cs="Calibri"/>
          <w:lang w:val="sq-AL" w:eastAsia="en-US" w:bidi="ar-SA"/>
        </w:rPr>
        <w:t>- plani i zhvillimit të territorit</w:t>
      </w:r>
    </w:p>
    <w:p>
      <w:pPr>
        <w:pStyle w:val="Normal"/>
        <w:jc w:val="both"/>
        <w:rPr>
          <w:rFonts w:cs="Calibri"/>
        </w:rPr>
      </w:pPr>
      <w:r>
        <w:rPr>
          <w:rFonts w:cs="Calibri"/>
          <w:lang w:val="sq-AL" w:eastAsia="en-US" w:bidi="ar-SA"/>
        </w:rPr>
        <w:t>- rregullorja e planit</w:t>
      </w:r>
    </w:p>
    <w:p>
      <w:pPr>
        <w:pStyle w:val="Normal"/>
        <w:jc w:val="both"/>
        <w:rPr>
          <w:rFonts w:cs="Calibri"/>
        </w:rPr>
      </w:pPr>
      <w:r>
        <w:rPr>
          <w:rFonts w:cs="Calibri"/>
          <w:lang w:val="sq-AL" w:eastAsia="en-US" w:bidi="ar-SA"/>
        </w:rPr>
        <w:t>- materilain hartografik: vizionin strategjik, ndarjen e territorit në 5 sisteme, ndarjen e territorit në njësi, përdorimi i propozuar i tokës sipas 14 kategorive bazë, infrastruktura e transportit dhe fazat e zbatimit të PPV-së.</w:t>
      </w:r>
    </w:p>
    <w:p>
      <w:pPr>
        <w:pStyle w:val="Normal"/>
        <w:jc w:val="both"/>
        <w:rPr>
          <w:rFonts w:cs="Calibri"/>
        </w:rPr>
      </w:pPr>
      <w:r>
        <w:rPr>
          <w:rFonts w:cs="Calibri"/>
          <w:lang w:val="sq-AL" w:eastAsia="en-US" w:bidi="ar-SA"/>
        </w:rPr>
        <w:t xml:space="preserve">Ky plan përcakton ndarjet më të vogla të territorit administrativ të Bashkisë së Tiranës, njësitë strukturore të tij subjekt hartimi Plani të Detajuar Vendor, një ndër të cilat është edhe njësia strukturore TR/346. Ky plan gjithashtu përcakton kushtet dhe rregullat për zbatueshmërinë e tij, me anë të Rregullores Vendore të PPV Bashkia Tiranë, e cla ka hyrë në fuqi me miratimin e këtij plani. </w:t>
      </w:r>
    </w:p>
    <w:p>
      <w:pPr>
        <w:pStyle w:val="Normal"/>
        <w:jc w:val="both"/>
        <w:rPr>
          <w:rFonts w:cs="Calibri"/>
        </w:rPr>
      </w:pPr>
      <w:r>
        <w:rPr>
          <w:rFonts w:cs="Calibri"/>
          <w:lang w:val="sq-AL" w:eastAsia="en-US" w:bidi="ar-SA"/>
        </w:rPr>
        <w:t>Objekt i kësaj rregulloreje janë kushtet e zhvillimit sipas rregullores së zhvillimit të territorit të miratuar me vendim të Këshillit të Ministrave, rregullat e përdorimit të tokës për çdo zonë e njësi, si dhe rregulla të tjera sipas rregullores së planifikimit të territorit të miratuar me vendim të Këshillit të Ministrave, në përputhje me kontekstin lokal të bashkisë dhe territorit të saj dhe përcaktimet e Planit të Përgjithshëm Vendor.</w:t>
      </w:r>
    </w:p>
    <w:p>
      <w:pPr>
        <w:pStyle w:val="Normal"/>
        <w:jc w:val="both"/>
        <w:rPr>
          <w:rFonts w:cs="Calibri"/>
        </w:rPr>
      </w:pPr>
      <w:r>
        <w:rPr>
          <w:rFonts w:cs="Calibri"/>
          <w:lang w:val="sq-AL" w:eastAsia="en-US" w:bidi="ar-SA"/>
        </w:rPr>
        <w:t>Disa nga instrumentat të cilat do të bazohen për hartimin e PDV-së, të përcaktuara në këtë rregullore janë mënyrat e ndërhyrjes në territor, rregullat bazë të përdorimit të tokës, tipologjitë hapësinore, instrumentet financiarë të zhvillimit të tokës, standartet dhe treguesit e zhvillimit.</w:t>
      </w:r>
    </w:p>
    <w:p>
      <w:pPr>
        <w:pStyle w:val="Normal"/>
        <w:jc w:val="both"/>
        <w:rPr>
          <w:rFonts w:cs="Calibri"/>
          <w:b/>
          <w:b/>
        </w:rPr>
      </w:pPr>
      <w:r>
        <w:rPr>
          <w:rFonts w:cs="Calibri"/>
          <w:b/>
          <w:lang w:val="sq-AL" w:eastAsia="en-US" w:bidi="ar-SA"/>
        </w:rPr>
        <w:t>Dokumenta të tjerë ligjore, të nevojshme për studimin dhe hartimin e kësaj PDV-je:</w:t>
      </w:r>
    </w:p>
    <w:p>
      <w:pPr>
        <w:pStyle w:val="Default"/>
        <w:spacing w:lineRule="auto" w:line="276"/>
        <w:jc w:val="both"/>
        <w:rPr>
          <w:rFonts w:ascii="Calibri" w:hAnsi="Calibri" w:cs="Calibri"/>
          <w:sz w:val="22"/>
          <w:szCs w:val="22"/>
          <w:lang w:val="sq-AL" w:eastAsia="en-US" w:bidi="ar-SA"/>
        </w:rPr>
      </w:pPr>
      <w:r>
        <w:rPr>
          <w:rFonts w:cs="Calibri" w:ascii="Calibri" w:hAnsi="Calibri"/>
          <w:sz w:val="22"/>
          <w:szCs w:val="22"/>
          <w:lang w:val="sq-AL" w:eastAsia="en-US" w:bidi="ar-SA"/>
        </w:rPr>
      </w:r>
    </w:p>
    <w:p>
      <w:pPr>
        <w:pStyle w:val="Default"/>
        <w:numPr>
          <w:ilvl w:val="0"/>
          <w:numId w:val="2"/>
        </w:numPr>
        <w:spacing w:lineRule="auto" w:line="276"/>
        <w:jc w:val="both"/>
        <w:rPr>
          <w:rFonts w:ascii="Calibri" w:hAnsi="Calibri" w:cs="Calibri"/>
          <w:b/>
          <w:b/>
          <w:sz w:val="22"/>
          <w:szCs w:val="22"/>
          <w:lang w:val="sq-AL"/>
        </w:rPr>
      </w:pPr>
      <w:r>
        <w:rPr>
          <w:rFonts w:cs="Calibri" w:ascii="Calibri" w:hAnsi="Calibri"/>
          <w:b/>
          <w:sz w:val="22"/>
          <w:szCs w:val="22"/>
          <w:lang w:val="sq-AL" w:eastAsia="en-US" w:bidi="ar-SA"/>
        </w:rPr>
        <w:t xml:space="preserve">Ligji nr.8378, datë 22.7.1998 “Kodi rrugor i Republikës së Shqipërisë”, të ndryshuar </w:t>
      </w:r>
    </w:p>
    <w:p>
      <w:pPr>
        <w:pStyle w:val="Normal"/>
        <w:jc w:val="both"/>
        <w:rPr>
          <w:rFonts w:cs="Calibri"/>
        </w:rPr>
      </w:pPr>
      <w:r>
        <w:rPr>
          <w:rFonts w:cs="Calibri"/>
          <w:lang w:val="sq-AL" w:eastAsia="en-US" w:bidi="ar-SA"/>
        </w:rPr>
        <w:t>vendim nr. 42, datë 30.1.2019, për disa shtesa në vendimin nr. 153, datë 7.4.2000, të këshillit të ministrave, “për miratimin e rregullores për zbatimin e kodit rrugor të republikës së shqipërisë”, të ndryshuar.</w:t>
      </w:r>
    </w:p>
    <w:p>
      <w:pPr>
        <w:pStyle w:val="Normal"/>
        <w:jc w:val="both"/>
        <w:rPr>
          <w:rFonts w:cs="Calibri"/>
        </w:rPr>
      </w:pPr>
      <w:r>
        <w:rPr>
          <w:rFonts w:cs="Calibri"/>
          <w:lang w:val="sq-AL" w:eastAsia="en-US" w:bidi="ar-SA"/>
        </w:rPr>
        <w:t>Kodi Rrugor i Republikës së Shqipërisë përcakton kriteret për rregullimin e sistemit të qarkullimit, brenda dhe jashtë qendrave të banuara. Gjatë hartimit të PDV-së, ky kod do të konsultohet gjatë identifikimit të problematikave ekzistuese në sistemin e qarkullimit dhe gjatë hartimit të propozimeve për këtë sistem qarkullimi.</w:t>
      </w:r>
    </w:p>
    <w:p>
      <w:pPr>
        <w:pStyle w:val="Normal"/>
        <w:jc w:val="both"/>
        <w:rPr>
          <w:rFonts w:cs="Calibri"/>
          <w:lang w:val="sq-AL" w:eastAsia="en-US" w:bidi="ar-SA"/>
        </w:rPr>
      </w:pPr>
      <w:r>
        <w:rPr>
          <w:rFonts w:cs="Calibri"/>
          <w:lang w:val="sq-AL" w:eastAsia="en-US" w:bidi="ar-SA"/>
        </w:rPr>
      </w:r>
    </w:p>
    <w:p>
      <w:pPr>
        <w:pStyle w:val="ListParagraph"/>
        <w:numPr>
          <w:ilvl w:val="0"/>
          <w:numId w:val="2"/>
        </w:numPr>
        <w:spacing w:before="0" w:after="160"/>
        <w:contextualSpacing/>
        <w:jc w:val="both"/>
        <w:rPr>
          <w:rFonts w:cs="Calibri"/>
          <w:b/>
          <w:b/>
        </w:rPr>
      </w:pPr>
      <w:r>
        <w:rPr>
          <w:rFonts w:cs="Calibri"/>
          <w:b/>
          <w:lang w:val="sq-AL" w:eastAsia="en-US" w:bidi="ar-SA"/>
        </w:rPr>
        <w:t>Ligji Nr. 8417, datë 21.10.1998, “Kushtetuta e Republikës së Shqipërisë”, i ndryshuar dhe Ligji Nr. 7850, datë 29.07.1994, “Kodi Civil i Republikës së Shqipërisë”, i ndryshuar</w:t>
      </w:r>
    </w:p>
    <w:p>
      <w:pPr>
        <w:pStyle w:val="Normal"/>
        <w:jc w:val="both"/>
        <w:rPr>
          <w:rFonts w:cs="Calibri"/>
        </w:rPr>
      </w:pPr>
      <w:r>
        <w:rPr>
          <w:rFonts w:cs="Calibri"/>
          <w:lang w:val="sq-AL" w:eastAsia="en-US" w:bidi="ar-SA"/>
        </w:rPr>
        <w:t>Të drejtat dhe detyrimet që burojnë nga pronësia mbi objekte të paluajtshme brenda kufirit të nënnjësisë për të cilën po hartohet kjo PDV, do të merren parasysh dhe respektohen sipas dispozitave ligjore në fuqi, siç shprehen në Kushtetutën e Republikës së Shqipërisë, Kodin Civil dhe ligje që kanë në fokus çështjet e pronësisë dhe zhvillimit, si: Ligji nr.33/2012 “Për regjistrimin e pasurive të paluajtshme”, Ligji nr. 9482 “Për legalizimin, urbanizimin dhe integrimin e ndërtimeve pa leje”, etj. Parashikimet duhet të bazohen mbi të dhënat më të përditësuara nga Zyra Vendore e Regjistrimit të Pasurive të Paluajtshme, për gjendjen e pronësisë, dhe të dhënat e përditësuara në terren me matjet përkatëse. PDV-ja do të garantojë që të drejtat për të gëzuar pronën, siç përcaktohen me ligj, të ruhen ose të kompensohen në mënyrë të drejtë përmes instrumentëve të manaxhimit të tokës që do propozohen nga PDV-ja.</w:t>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Heading1"/>
        <w:jc w:val="both"/>
        <w:rPr>
          <w:rFonts w:ascii="Calibri" w:hAnsi="Calibri" w:cs="Calibri"/>
          <w:b/>
          <w:b/>
          <w:color w:val="auto"/>
          <w:sz w:val="22"/>
          <w:szCs w:val="22"/>
        </w:rPr>
      </w:pPr>
      <w:bookmarkStart w:id="9" w:name="__RefHeading___Toc2518_2015891183"/>
      <w:bookmarkStart w:id="10" w:name="_Toc2684798"/>
      <w:bookmarkStart w:id="11" w:name="_Toc7778227"/>
      <w:bookmarkStart w:id="12" w:name="_Toc7790034"/>
      <w:bookmarkEnd w:id="9"/>
      <w:r>
        <w:rPr>
          <w:rFonts w:cs="Calibri" w:ascii="Calibri" w:hAnsi="Calibri"/>
          <w:b/>
          <w:color w:val="auto"/>
          <w:sz w:val="22"/>
          <w:szCs w:val="22"/>
          <w:lang w:val="sq-AL" w:eastAsia="en-US" w:bidi="ar-SA"/>
        </w:rPr>
        <w:t>Qëllimi i dokumentit dhe metodologjia</w:t>
      </w:r>
      <w:bookmarkEnd w:id="10"/>
      <w:bookmarkEnd w:id="11"/>
      <w:bookmarkEnd w:id="12"/>
    </w:p>
    <w:p>
      <w:pPr>
        <w:pStyle w:val="Normal"/>
        <w:jc w:val="both"/>
        <w:rPr>
          <w:rFonts w:cs="Calibri"/>
        </w:rPr>
      </w:pPr>
      <w:r>
        <w:rPr>
          <w:rFonts w:cs="Calibri"/>
          <w:lang w:val="sq-AL" w:eastAsia="en-US" w:bidi="ar-SA"/>
        </w:rPr>
        <w:t>Plan i detajuar vendor (PDV) Faza II, është dokumenti që përkthen në projektim urban kushtet e zhvillimit të përcaktuara nga PDV Faza I, në nivel parcele apo grup parcelash që shërben si bazë për pajisjen me leje ndërtimi. PDV Faza II hartohet pas miratimit të PDV Faza I.</w:t>
      </w:r>
    </w:p>
    <w:p>
      <w:pPr>
        <w:pStyle w:val="Normal"/>
        <w:jc w:val="both"/>
        <w:rPr>
          <w:rFonts w:cs="Calibri"/>
        </w:rPr>
      </w:pPr>
      <w:r>
        <w:rPr>
          <w:rFonts w:cs="Calibri"/>
          <w:lang w:val="sq-AL" w:eastAsia="en-US" w:bidi="ar-SA"/>
        </w:rPr>
        <w:t>PDV Faza I, është baza nga ku përftohet informacioni i nevojshëm mbi rregullat e planifikimit dhe zhvillimit për nën - njësinë strukturore (pjese e të cilës është prona / pronat për të cilat kërkohet zhvillimi) para aplikimit për PDV Faza II.</w:t>
      </w:r>
    </w:p>
    <w:p>
      <w:pPr>
        <w:pStyle w:val="Normal"/>
        <w:jc w:val="both"/>
        <w:rPr>
          <w:lang w:val="sq-AL"/>
        </w:rPr>
      </w:pPr>
      <w:r>
        <w:rPr>
          <w:rFonts w:cs="Calibri"/>
          <w:lang w:val="sq-AL" w:eastAsia="en-US" w:bidi="ar-SA"/>
        </w:rPr>
        <w:t>PDV TR/346 nën-njësia 4 është hartuar nga Drejtoria e Përgjithshme e Planifikimit dhe Zhvillimit të Territorit, Drejtoria e Planifikimit të Territorit të Bashkisë Tiranë. Hartimi i PDV-së ka kaluar në hapat e mëposhtem:</w:t>
      </w:r>
    </w:p>
    <w:p>
      <w:pPr>
        <w:pStyle w:val="ListParagraph"/>
        <w:numPr>
          <w:ilvl w:val="0"/>
          <w:numId w:val="3"/>
        </w:numPr>
        <w:jc w:val="both"/>
        <w:rPr>
          <w:lang w:val="sq-AL"/>
        </w:rPr>
      </w:pPr>
      <w:r>
        <w:rPr>
          <w:rFonts w:cs="Calibri"/>
          <w:b/>
          <w:lang w:val="sq-AL" w:eastAsia="en-US" w:bidi="ar-SA"/>
        </w:rPr>
        <w:t xml:space="preserve">Ndërmarrja e nismës për hartimin e PDV TR/346 nën-njësia 4 </w:t>
      </w:r>
    </w:p>
    <w:p>
      <w:pPr>
        <w:pStyle w:val="Normal"/>
        <w:jc w:val="both"/>
        <w:rPr>
          <w:rFonts w:cs="Calibri"/>
        </w:rPr>
      </w:pPr>
      <w:r>
        <w:rPr>
          <w:rFonts w:cs="Calibri"/>
          <w:lang w:val="sq-AL" w:eastAsia="en-US" w:bidi="ar-SA"/>
        </w:rPr>
        <w:t>Për fillimin e hartimit të PDV Faza II, ndërmerret njoftimi për nisjen e hartimit të saj, në rastet kur:</w:t>
      </w:r>
    </w:p>
    <w:p>
      <w:pPr>
        <w:pStyle w:val="Normal"/>
        <w:jc w:val="both"/>
        <w:rPr>
          <w:rFonts w:cs="Calibri"/>
        </w:rPr>
      </w:pPr>
      <w:r>
        <w:rPr>
          <w:rFonts w:cs="Calibri"/>
          <w:lang w:val="sq-AL" w:eastAsia="en-US" w:bidi="ar-SA"/>
        </w:rPr>
        <w:t>1/ Autoritete vendore vlerësojnë të nevojshëm nisjen e hartimit të PDV Faza II</w:t>
      </w:r>
    </w:p>
    <w:p>
      <w:pPr>
        <w:pStyle w:val="Normal"/>
        <w:jc w:val="both"/>
        <w:rPr>
          <w:rFonts w:cs="Calibri"/>
        </w:rPr>
      </w:pPr>
      <w:r>
        <w:rPr>
          <w:rFonts w:cs="Calibri"/>
          <w:lang w:val="sq-AL" w:eastAsia="en-US" w:bidi="ar-SA"/>
        </w:rPr>
        <w:t xml:space="preserve">2/ Kur kërkohet nga interesi për zhvillim (privat) </w:t>
      </w:r>
    </w:p>
    <w:p>
      <w:pPr>
        <w:pStyle w:val="Normal"/>
        <w:jc w:val="both"/>
        <w:rPr>
          <w:rFonts w:cs="Calibri"/>
        </w:rPr>
      </w:pPr>
      <w:r>
        <w:rPr>
          <w:rFonts w:cs="Calibri"/>
          <w:lang w:val="sq-AL" w:eastAsia="en-US" w:bidi="ar-SA"/>
        </w:rPr>
        <w:t>Për të dyja këto raste procedura përfshin:</w:t>
      </w:r>
    </w:p>
    <w:p>
      <w:pPr>
        <w:pStyle w:val="Normal"/>
        <w:jc w:val="both"/>
        <w:rPr>
          <w:rFonts w:cs="Calibri"/>
        </w:rPr>
      </w:pPr>
      <w:r>
        <w:rPr>
          <w:rFonts w:cs="Calibri"/>
          <w:lang w:val="sq-AL" w:eastAsia="en-US" w:bidi="ar-SA"/>
        </w:rPr>
        <w:t>Drejtoria e Planfikimit të Territorit (DPT) harton dhe dorëzon materialin e Nismës në Drejtorinë e Përgjithshme të Komunikimit dhe Marrdhënieve me Publikun për afishimin e saj në ambientet e bashkisë si dhe për botimin në Regjistrin Kombëtar të Planifikimit të Territorit (RKPT), portalin zyrtar për informimin e të gjithë palëve të interesuara.</w:t>
      </w:r>
    </w:p>
    <w:p>
      <w:pPr>
        <w:pStyle w:val="Normal"/>
        <w:jc w:val="both"/>
        <w:rPr>
          <w:rFonts w:cs="Calibri"/>
        </w:rPr>
      </w:pPr>
      <w:r>
        <w:rPr>
          <w:rFonts w:cs="Calibri"/>
          <w:lang w:val="sq-AL" w:eastAsia="en-US" w:bidi="ar-SA"/>
        </w:rPr>
        <w:t>Planet e detajuara vendore hartohen me nismë publike ose private në zona të cilat janë:</w:t>
      </w:r>
    </w:p>
    <w:p>
      <w:pPr>
        <w:pStyle w:val="Normal"/>
        <w:jc w:val="both"/>
        <w:rPr>
          <w:rFonts w:cs="Calibri"/>
        </w:rPr>
      </w:pPr>
      <w:r>
        <w:rPr>
          <w:rFonts w:cs="Calibri"/>
          <w:lang w:val="sq-AL" w:eastAsia="en-US" w:bidi="ar-SA"/>
        </w:rPr>
        <w:t xml:space="preserve">a/ një nën - njësi strukturore (zonë zhvillimi) </w:t>
      </w:r>
    </w:p>
    <w:p>
      <w:pPr>
        <w:pStyle w:val="Normal"/>
        <w:jc w:val="both"/>
        <w:rPr>
          <w:rFonts w:cs="Calibri"/>
        </w:rPr>
      </w:pPr>
      <w:r>
        <w:rPr>
          <w:rFonts w:cs="Calibri"/>
          <w:lang w:val="sq-AL" w:eastAsia="en-US" w:bidi="ar-SA"/>
        </w:rPr>
        <w:t xml:space="preserve">b/ disa nën - njësi strukturore (zona zhvillimi) </w:t>
      </w:r>
    </w:p>
    <w:p>
      <w:pPr>
        <w:pStyle w:val="Normal"/>
        <w:jc w:val="both"/>
        <w:rPr>
          <w:rFonts w:cs="Calibri"/>
          <w:lang w:val="sq-AL" w:eastAsia="en-US" w:bidi="ar-SA"/>
        </w:rPr>
      </w:pPr>
      <w:r>
        <w:rPr>
          <w:rFonts w:cs="Calibri"/>
          <w:lang w:val="sq-AL" w:eastAsia="en-US" w:bidi="ar-SA"/>
        </w:rPr>
      </w:r>
    </w:p>
    <w:p>
      <w:pPr>
        <w:pStyle w:val="ListParagraph"/>
        <w:numPr>
          <w:ilvl w:val="0"/>
          <w:numId w:val="3"/>
        </w:numPr>
        <w:jc w:val="both"/>
        <w:rPr>
          <w:rFonts w:cs="Calibri"/>
          <w:b/>
          <w:b/>
        </w:rPr>
      </w:pPr>
      <w:r>
        <w:rPr>
          <w:rFonts w:cs="Calibri"/>
          <w:b/>
          <w:lang w:val="sq-AL" w:eastAsia="en-US" w:bidi="ar-SA"/>
        </w:rPr>
        <w:t xml:space="preserve">Aplikimi për Gen-plan Azhornimi në Bashkinë e Tiranës </w:t>
      </w:r>
    </w:p>
    <w:p>
      <w:pPr>
        <w:pStyle w:val="Normal"/>
        <w:jc w:val="both"/>
        <w:rPr>
          <w:rFonts w:cs="Calibri"/>
        </w:rPr>
      </w:pPr>
      <w:r>
        <w:rPr>
          <w:rFonts w:cs="Calibri"/>
          <w:lang w:val="sq-AL" w:eastAsia="en-US" w:bidi="ar-SA"/>
        </w:rPr>
        <w:t xml:space="preserve">Gen-plani i azhornimit i nën-njësisë strukturore (zonës së zhvillimit) është procesi i azhornimit të rilevimit të territorit dhe strukturave në të, për të cilin do të hartohet PDV Faza II. </w:t>
      </w:r>
    </w:p>
    <w:p>
      <w:pPr>
        <w:pStyle w:val="Normal"/>
        <w:jc w:val="both"/>
        <w:rPr>
          <w:rFonts w:cs="Calibri"/>
        </w:rPr>
      </w:pPr>
      <w:r>
        <w:rPr>
          <w:rFonts w:cs="Calibri"/>
          <w:lang w:val="sq-AL" w:eastAsia="en-US" w:bidi="ar-SA"/>
        </w:rPr>
        <w:t>Subjekti i interesuar për zhvillimin e nën-njësisë aplikon me dokumenat e vërtetimit të pronësisë për parcelën apo parcelat e përfshira në zhvillim me anë të dokumentave të mëposhtme:</w:t>
      </w:r>
    </w:p>
    <w:p>
      <w:pPr>
        <w:pStyle w:val="Normal"/>
        <w:jc w:val="both"/>
        <w:rPr>
          <w:rFonts w:cs="Calibri"/>
          <w:b/>
          <w:b/>
        </w:rPr>
      </w:pPr>
      <w:r>
        <w:rPr>
          <w:rFonts w:cs="Calibri"/>
          <w:b/>
          <w:lang w:val="sq-AL" w:eastAsia="en-US" w:bidi="ar-SA"/>
        </w:rPr>
        <w:t>1/ rilevimi topografik i territorit në pronësi</w:t>
      </w:r>
    </w:p>
    <w:p>
      <w:pPr>
        <w:pStyle w:val="Normal"/>
        <w:spacing w:before="0" w:after="0"/>
        <w:jc w:val="both"/>
        <w:rPr>
          <w:rFonts w:cs="Calibri"/>
        </w:rPr>
      </w:pPr>
      <w:r>
        <w:rPr>
          <w:rFonts w:cs="Calibri"/>
          <w:lang w:val="sq-AL" w:eastAsia="en-US" w:bidi="ar-SA"/>
        </w:rPr>
        <w:t xml:space="preserve">     </w:t>
      </w:r>
      <w:r>
        <w:rPr>
          <w:rFonts w:cs="Calibri"/>
          <w:lang w:val="sq-AL" w:eastAsia="en-US" w:bidi="ar-SA"/>
        </w:rPr>
        <w:t>Realizohet nga një topograf i licensuar.</w:t>
      </w:r>
    </w:p>
    <w:p>
      <w:pPr>
        <w:pStyle w:val="Normal"/>
        <w:spacing w:before="0" w:after="0"/>
        <w:jc w:val="both"/>
        <w:rPr>
          <w:rFonts w:cs="Calibri"/>
        </w:rPr>
      </w:pPr>
      <w:r>
        <w:rPr>
          <w:rFonts w:cs="Calibri"/>
          <w:lang w:val="sq-AL" w:eastAsia="en-US" w:bidi="ar-SA"/>
        </w:rPr>
        <w:t>-   shkalla në varësi të sipërfaqes së zonës</w:t>
      </w:r>
    </w:p>
    <w:p>
      <w:pPr>
        <w:pStyle w:val="Normal"/>
        <w:spacing w:before="0" w:after="0"/>
        <w:jc w:val="both"/>
        <w:rPr>
          <w:rFonts w:cs="Calibri"/>
        </w:rPr>
      </w:pPr>
      <w:r>
        <w:rPr>
          <w:rFonts w:cs="Calibri"/>
          <w:lang w:val="sq-AL" w:eastAsia="en-US" w:bidi="ar-SA"/>
        </w:rPr>
        <w:t>-   formati A3 (e printuar dhe digitale - CD)</w:t>
      </w:r>
    </w:p>
    <w:p>
      <w:pPr>
        <w:pStyle w:val="Normal"/>
        <w:jc w:val="both"/>
        <w:rPr>
          <w:rFonts w:cs="Calibri"/>
        </w:rPr>
      </w:pPr>
      <w:r>
        <w:rPr>
          <w:rFonts w:cs="Calibri"/>
          <w:lang w:val="sq-AL" w:eastAsia="en-US" w:bidi="ar-SA"/>
        </w:rPr>
        <w:t xml:space="preserve">-   firmosur nga ekspert i licensuar </w:t>
      </w:r>
    </w:p>
    <w:p>
      <w:pPr>
        <w:pStyle w:val="Normal"/>
        <w:jc w:val="both"/>
        <w:rPr>
          <w:rFonts w:cs="Calibri"/>
        </w:rPr>
      </w:pPr>
      <w:r>
        <w:rPr>
          <w:rFonts w:cs="Calibri"/>
          <w:b/>
          <w:lang w:val="sq-AL" w:eastAsia="en-US" w:bidi="ar-SA"/>
        </w:rPr>
        <w:t xml:space="preserve">2/ Vërtetimin e pronës / pronave nga hipoteka </w:t>
      </w:r>
      <w:r>
        <w:rPr>
          <w:rFonts w:cs="Calibri"/>
          <w:lang w:val="sq-AL" w:eastAsia="en-US" w:bidi="ar-SA"/>
        </w:rPr>
        <w:t>(zyra vendore e regjistrimit të pasurive të paluatshme - ZVRPP)</w:t>
      </w:r>
    </w:p>
    <w:p>
      <w:pPr>
        <w:pStyle w:val="Normal"/>
        <w:spacing w:before="0" w:after="0"/>
        <w:jc w:val="both"/>
        <w:rPr>
          <w:rFonts w:cs="Calibri"/>
        </w:rPr>
      </w:pPr>
      <w:r>
        <w:rPr>
          <w:rFonts w:cs="Calibri"/>
          <w:lang w:val="sq-AL" w:eastAsia="en-US" w:bidi="ar-SA"/>
        </w:rPr>
        <w:t xml:space="preserve">-  çertifikata e pronesisë </w:t>
      </w:r>
    </w:p>
    <w:p>
      <w:pPr>
        <w:pStyle w:val="Normal"/>
        <w:spacing w:before="0" w:after="0"/>
        <w:jc w:val="both"/>
        <w:rPr>
          <w:rFonts w:cs="Calibri"/>
        </w:rPr>
      </w:pPr>
      <w:r>
        <w:rPr>
          <w:rFonts w:cs="Calibri"/>
          <w:lang w:val="sq-AL" w:eastAsia="en-US" w:bidi="ar-SA"/>
        </w:rPr>
        <w:t>-  kartela e pasurisë së paluajtshme</w:t>
      </w:r>
    </w:p>
    <w:p>
      <w:pPr>
        <w:pStyle w:val="Normal"/>
        <w:spacing w:before="0" w:after="0"/>
        <w:jc w:val="both"/>
        <w:rPr>
          <w:rFonts w:cs="Calibri"/>
        </w:rPr>
      </w:pPr>
      <w:r>
        <w:rPr>
          <w:rFonts w:cs="Calibri"/>
          <w:lang w:val="sq-AL" w:eastAsia="en-US" w:bidi="ar-SA"/>
        </w:rPr>
        <w:t xml:space="preserve">-  harta treguese e regjistrimit  </w:t>
      </w:r>
    </w:p>
    <w:p>
      <w:pPr>
        <w:pStyle w:val="Normal"/>
        <w:jc w:val="both"/>
        <w:rPr>
          <w:rFonts w:cs="Calibri"/>
          <w:b/>
          <w:b/>
          <w:lang w:val="sq-AL" w:eastAsia="en-US" w:bidi="ar-SA"/>
        </w:rPr>
      </w:pPr>
      <w:r>
        <w:rPr>
          <w:rFonts w:cs="Calibri"/>
          <w:b/>
          <w:lang w:val="sq-AL" w:eastAsia="en-US" w:bidi="ar-SA"/>
        </w:rPr>
      </w:r>
    </w:p>
    <w:p>
      <w:pPr>
        <w:pStyle w:val="Normal"/>
        <w:jc w:val="both"/>
        <w:rPr>
          <w:rFonts w:cs="Calibri"/>
          <w:b/>
          <w:b/>
        </w:rPr>
      </w:pPr>
      <w:r>
        <w:rPr>
          <w:rFonts w:cs="Calibri"/>
          <w:b/>
          <w:lang w:val="sq-AL" w:eastAsia="en-US" w:bidi="ar-SA"/>
        </w:rPr>
        <w:t>3/ Licensa e topografit e noterizuar</w:t>
      </w:r>
    </w:p>
    <w:p>
      <w:pPr>
        <w:pStyle w:val="ListParagraph"/>
        <w:numPr>
          <w:ilvl w:val="0"/>
          <w:numId w:val="2"/>
        </w:numPr>
        <w:spacing w:before="0" w:after="160"/>
        <w:contextualSpacing/>
        <w:jc w:val="both"/>
        <w:rPr>
          <w:rFonts w:cs="Calibri"/>
          <w:b/>
          <w:b/>
        </w:rPr>
      </w:pPr>
      <w:r>
        <w:rPr>
          <w:rFonts w:cs="Calibri"/>
          <w:b/>
          <w:lang w:val="sq-AL" w:eastAsia="en-US" w:bidi="ar-SA"/>
        </w:rPr>
        <w:t>Hartimi i analizës dhe vlerësimit të thelluar të gjendjes ekzistuese</w:t>
      </w:r>
    </w:p>
    <w:p>
      <w:pPr>
        <w:pStyle w:val="Normal"/>
        <w:jc w:val="both"/>
        <w:rPr>
          <w:rFonts w:cs="Calibri"/>
        </w:rPr>
      </w:pPr>
      <w:r>
        <w:rPr>
          <w:rFonts w:cs="Calibri"/>
          <w:lang w:val="sq-AL" w:eastAsia="en-US" w:bidi="ar-SA"/>
        </w:rPr>
        <w:t>Faza e dytë fokusohet në punën e bërë nga grupi i punës në njohjen e zonës, evidentimin e problematikave kryesore në zonë dhe vlerësimin e potencialeve të saj. Gjatë kësaj faze u përgatit materiali hartografik dhe përshkrimor përsa i përket gjendjes ekzistuese të njësisë strukturore TR/346 nën-njësia 1. Gjatë kësaj faze, grupi i punës analizoi përcaktimet e PDV Faza I për këtë njësi strukturore, për të kuptuar më mirë përcaktimet, kriteret e zhvillimit dhe hapësirat apo kufizimet që vijnë nga PPV-ja që do ndikojnë propozimet e PDV-së. Grupi i punës evidentoi gjetjet kryesore të analizës si dhe studioi kapacitetin mbajtës të zonës dhe prespektivën e zhvillimit të saj.</w:t>
      </w:r>
    </w:p>
    <w:p>
      <w:pPr>
        <w:pStyle w:val="Normal"/>
        <w:jc w:val="both"/>
        <w:rPr>
          <w:rFonts w:cs="Calibri"/>
          <w:lang w:val="sq-AL" w:eastAsia="en-US" w:bidi="ar-SA"/>
        </w:rPr>
      </w:pPr>
      <w:r>
        <w:rPr>
          <w:rFonts w:cs="Calibri"/>
          <w:lang w:val="sq-AL" w:eastAsia="en-US" w:bidi="ar-SA"/>
        </w:rPr>
      </w:r>
    </w:p>
    <w:p>
      <w:pPr>
        <w:pStyle w:val="ListParagraph"/>
        <w:numPr>
          <w:ilvl w:val="0"/>
          <w:numId w:val="2"/>
        </w:numPr>
        <w:spacing w:before="0" w:after="160"/>
        <w:contextualSpacing/>
        <w:jc w:val="both"/>
        <w:rPr>
          <w:rFonts w:cs="Calibri"/>
          <w:b/>
          <w:b/>
        </w:rPr>
      </w:pPr>
      <w:r>
        <w:rPr>
          <w:rFonts w:cs="Calibri"/>
          <w:b/>
          <w:lang w:val="sq-AL" w:eastAsia="en-US" w:bidi="ar-SA"/>
        </w:rPr>
        <w:t>Hartimi i Albumit të PDV-së Faza II</w:t>
      </w:r>
    </w:p>
    <w:p>
      <w:pPr>
        <w:pStyle w:val="Normal"/>
        <w:jc w:val="both"/>
        <w:rPr>
          <w:rFonts w:cs="Calibri"/>
        </w:rPr>
      </w:pPr>
      <w:r>
        <w:rPr>
          <w:rFonts w:cs="Calibri"/>
          <w:lang w:val="sq-AL" w:eastAsia="en-US" w:bidi="ar-SA"/>
        </w:rPr>
        <w:t>Albumi i PDV-së së nën-njësisë strukturore në studim, është i përbërë nga 4 fletë, të cilat përfshijnë materilain hartografik të këtij studimi i cili konsiston në dy faza kryesore: analizën e gjendjes ekzistuese për njësinë strukturore dhe propozimet e përcaktimeve territoriale.</w:t>
      </w:r>
    </w:p>
    <w:p>
      <w:pPr>
        <w:pStyle w:val="Normal"/>
        <w:jc w:val="both"/>
        <w:rPr>
          <w:rFonts w:cs="Calibri"/>
        </w:rPr>
      </w:pPr>
      <w:r>
        <w:rPr>
          <w:rFonts w:cs="Calibri"/>
          <w:lang w:val="sq-AL" w:eastAsia="en-US" w:bidi="ar-SA"/>
        </w:rPr>
        <w:t>Përkatësisht, albumi ndahet në 4 fletë:</w:t>
      </w:r>
    </w:p>
    <w:p>
      <w:pPr>
        <w:pStyle w:val="Normal"/>
        <w:jc w:val="both"/>
        <w:rPr>
          <w:rFonts w:cs="Calibri"/>
          <w:b/>
          <w:b/>
        </w:rPr>
      </w:pPr>
      <w:r>
        <w:rPr>
          <w:rFonts w:cs="Calibri"/>
          <w:b/>
          <w:lang w:val="sq-AL" w:eastAsia="en-US" w:bidi="ar-SA"/>
        </w:rPr>
        <w:t>U_01 Pozicioni i zonës në lidhje me qytetin dhe njësinë strukturore</w:t>
      </w:r>
    </w:p>
    <w:p>
      <w:pPr>
        <w:pStyle w:val="Normal"/>
        <w:jc w:val="both"/>
        <w:rPr>
          <w:rFonts w:cs="Calibri"/>
        </w:rPr>
      </w:pPr>
      <w:r>
        <w:rPr>
          <w:rFonts w:cs="Calibri"/>
          <w:lang w:val="sq-AL" w:eastAsia="en-US" w:bidi="ar-SA"/>
        </w:rPr>
        <w:t>- Pozicionimi i njësisë strukturore subjekt PDV Faza I, në lidhje me qytetin</w:t>
      </w:r>
    </w:p>
    <w:p>
      <w:pPr>
        <w:pStyle w:val="Normal"/>
        <w:jc w:val="both"/>
        <w:rPr>
          <w:rFonts w:cs="Calibri"/>
        </w:rPr>
      </w:pPr>
      <w:r>
        <w:rPr>
          <w:rFonts w:cs="Calibri"/>
          <w:lang w:val="sq-AL" w:eastAsia="en-US" w:bidi="ar-SA"/>
        </w:rPr>
        <w:t>- Pozicionimi i nën-njësisë strukturore PDV II në raport me njësisë strukturore për të cilën është hartuar PDV Faza I.</w:t>
      </w:r>
    </w:p>
    <w:p>
      <w:pPr>
        <w:pStyle w:val="Normal"/>
        <w:jc w:val="both"/>
        <w:rPr>
          <w:rFonts w:cs="Calibri"/>
        </w:rPr>
      </w:pPr>
      <w:r>
        <w:rPr>
          <w:rFonts w:cs="Calibri"/>
          <w:lang w:val="sq-AL" w:eastAsia="en-US" w:bidi="ar-SA"/>
        </w:rPr>
        <w:t>- Gjendja ekzistuese e nën - njësisë strukturore e punuar mbi rilevimin teknik të topografisë (genplani i azhornuar), së bashku me kondicionet dhe parametrat urbanistike; identifikimin e objekteve, rrjetin rrugor ekzistues dhe foto të zonës, të përcaktuara në PDV Faza I.</w:t>
      </w:r>
    </w:p>
    <w:p>
      <w:pPr>
        <w:pStyle w:val="Normal"/>
        <w:jc w:val="both"/>
        <w:rPr>
          <w:rFonts w:cs="Calibri"/>
          <w:b/>
          <w:b/>
        </w:rPr>
      </w:pPr>
      <w:r>
        <w:rPr>
          <w:rFonts w:cs="Calibri"/>
          <w:b/>
          <w:lang w:val="sq-AL" w:eastAsia="en-US" w:bidi="ar-SA"/>
        </w:rPr>
        <w:t>U_02 Gjendja ekzistuese</w:t>
      </w:r>
    </w:p>
    <w:p>
      <w:pPr>
        <w:pStyle w:val="Normal"/>
        <w:jc w:val="both"/>
        <w:rPr>
          <w:rFonts w:cs="Calibri"/>
        </w:rPr>
      </w:pPr>
      <w:r>
        <w:rPr>
          <w:rFonts w:cs="Calibri"/>
          <w:lang w:val="sq-AL" w:eastAsia="en-US" w:bidi="ar-SA"/>
        </w:rPr>
        <w:t>Gjendja ekzistuese e nën - njësisë strukturore punohet mbi rilevimin teknik të topografisë (genplani i azhornuar) dhe evidenton pozicionin e zonës së studiuar në lidhje me nën-njësine strukturore, së bashku me kondicionet dhe parametrat urbanistike; identifikimin e objekteve, rrjetin rrugor ekzistues dhe foto të zonës, të përcaktuara në PDV Faza I.(shkalla 1:1000-1:2000)</w:t>
      </w:r>
    </w:p>
    <w:p>
      <w:pPr>
        <w:pStyle w:val="Normal"/>
        <w:jc w:val="both"/>
        <w:rPr>
          <w:rFonts w:cs="Calibri"/>
          <w:b/>
          <w:b/>
        </w:rPr>
      </w:pPr>
      <w:r>
        <w:rPr>
          <w:rFonts w:cs="Calibri"/>
          <w:b/>
          <w:lang w:val="sq-AL" w:eastAsia="en-US" w:bidi="ar-SA"/>
        </w:rPr>
        <w:t>U_03 Analiza e pronësisë mbi truallin dhe parcelave të zhvilluara</w:t>
      </w:r>
    </w:p>
    <w:p>
      <w:pPr>
        <w:pStyle w:val="Normal"/>
        <w:jc w:val="both"/>
        <w:rPr>
          <w:rFonts w:cs="Calibri"/>
        </w:rPr>
      </w:pPr>
      <w:r>
        <w:rPr>
          <w:rFonts w:cs="Calibri"/>
          <w:lang w:val="sq-AL" w:eastAsia="en-US" w:bidi="ar-SA"/>
        </w:rPr>
        <w:t>Gjendja ekzistuese e pronësise mbi truallin sipas statusit te pronesise te marre nga ZRPP-ja, ku evidentohen:</w:t>
      </w:r>
    </w:p>
    <w:p>
      <w:pPr>
        <w:pStyle w:val="Normal"/>
        <w:jc w:val="both"/>
        <w:rPr>
          <w:rFonts w:cs="Calibri"/>
        </w:rPr>
      </w:pPr>
      <w:r>
        <w:rPr>
          <w:rFonts w:cs="Calibri"/>
          <w:lang w:val="sq-AL" w:eastAsia="en-US" w:bidi="ar-SA"/>
        </w:rPr>
        <w:t xml:space="preserve">- pronat shtet / privat me kufirin e zonës së zhvillimit dhe kufirin e njësisë strukturore </w:t>
      </w:r>
    </w:p>
    <w:p>
      <w:pPr>
        <w:pStyle w:val="Normal"/>
        <w:jc w:val="both"/>
        <w:rPr>
          <w:rFonts w:cs="Calibri"/>
        </w:rPr>
      </w:pPr>
      <w:r>
        <w:rPr>
          <w:rFonts w:cs="Calibri"/>
          <w:lang w:val="sq-AL" w:eastAsia="en-US" w:bidi="ar-SA"/>
        </w:rPr>
        <w:t>- parcelat e zhvilluara dhe parcelat e mundshme per zhvillim</w:t>
      </w:r>
    </w:p>
    <w:p>
      <w:pPr>
        <w:pStyle w:val="Normal"/>
        <w:jc w:val="both"/>
        <w:rPr>
          <w:rFonts w:cs="Calibri"/>
          <w:lang w:val="sq-AL" w:eastAsia="en-US" w:bidi="ar-SA"/>
        </w:rPr>
      </w:pPr>
      <w:r>
        <w:rPr>
          <w:rFonts w:cs="Calibri"/>
          <w:lang w:val="sq-AL" w:eastAsia="en-US" w:bidi="ar-SA"/>
        </w:rPr>
      </w:r>
    </w:p>
    <w:p>
      <w:pPr>
        <w:pStyle w:val="Normal"/>
        <w:jc w:val="both"/>
        <w:rPr>
          <w:rFonts w:cs="Calibri"/>
          <w:b/>
          <w:b/>
        </w:rPr>
      </w:pPr>
      <w:r>
        <w:rPr>
          <w:rFonts w:cs="Calibri"/>
          <w:b/>
          <w:lang w:val="sq-AL" w:eastAsia="en-US" w:bidi="ar-SA"/>
        </w:rPr>
        <w:t>U_04 Zbardhja</w:t>
      </w:r>
    </w:p>
    <w:p>
      <w:pPr>
        <w:pStyle w:val="Normal"/>
        <w:spacing w:before="0" w:after="0"/>
        <w:jc w:val="both"/>
        <w:rPr>
          <w:rFonts w:cs="Calibri"/>
        </w:rPr>
      </w:pPr>
      <w:r>
        <w:rPr>
          <w:rFonts w:cs="Calibri"/>
          <w:lang w:val="sq-AL" w:eastAsia="en-US" w:bidi="ar-SA"/>
        </w:rPr>
        <w:t>Planimetria e përgjithshme e studimit mbi rilevimin teknik të topografisë (genplani i azhornuar), ku evidentohen:</w:t>
      </w:r>
    </w:p>
    <w:p>
      <w:pPr>
        <w:pStyle w:val="Normal"/>
        <w:spacing w:before="0" w:after="0"/>
        <w:jc w:val="both"/>
        <w:rPr>
          <w:rFonts w:cs="Calibri"/>
          <w:lang w:val="sq-AL" w:eastAsia="en-US" w:bidi="ar-SA"/>
        </w:rPr>
      </w:pPr>
      <w:r>
        <w:rPr>
          <w:rFonts w:cs="Calibri"/>
          <w:lang w:val="sq-AL" w:eastAsia="en-US" w:bidi="ar-SA"/>
        </w:rPr>
      </w:r>
    </w:p>
    <w:p>
      <w:pPr>
        <w:pStyle w:val="Normal"/>
        <w:spacing w:before="0" w:after="0"/>
        <w:jc w:val="both"/>
        <w:rPr>
          <w:rFonts w:cs="Calibri"/>
        </w:rPr>
      </w:pPr>
      <w:r>
        <w:rPr>
          <w:rFonts w:cs="Calibri"/>
          <w:lang w:val="sq-AL" w:eastAsia="en-US" w:bidi="ar-SA"/>
        </w:rPr>
        <w:t>- rrjeti rrugor i propozuar me vijat e ndërtimit</w:t>
      </w:r>
    </w:p>
    <w:p>
      <w:pPr>
        <w:pStyle w:val="Normal"/>
        <w:spacing w:before="0" w:after="0"/>
        <w:jc w:val="both"/>
        <w:rPr>
          <w:rFonts w:cs="Calibri"/>
        </w:rPr>
      </w:pPr>
      <w:r>
        <w:rPr>
          <w:rFonts w:cs="Calibri"/>
          <w:lang w:val="sq-AL" w:eastAsia="en-US" w:bidi="ar-SA"/>
        </w:rPr>
        <w:t>- gjurmët e objekteve të propozuara</w:t>
      </w:r>
    </w:p>
    <w:p>
      <w:pPr>
        <w:pStyle w:val="Normal"/>
        <w:spacing w:before="0" w:after="0"/>
        <w:jc w:val="both"/>
        <w:rPr>
          <w:rFonts w:cs="Calibri"/>
        </w:rPr>
      </w:pPr>
      <w:r>
        <w:rPr>
          <w:rFonts w:cs="Calibri"/>
          <w:lang w:val="sq-AL" w:eastAsia="en-US" w:bidi="ar-SA"/>
        </w:rPr>
        <w:t>- hapësirat për vepra me interes publik</w:t>
      </w:r>
    </w:p>
    <w:p>
      <w:pPr>
        <w:pStyle w:val="Normal"/>
        <w:spacing w:before="0" w:after="0"/>
        <w:jc w:val="both"/>
        <w:rPr>
          <w:rFonts w:cs="Calibri"/>
        </w:rPr>
      </w:pPr>
      <w:r>
        <w:rPr>
          <w:rFonts w:cs="Calibri"/>
          <w:lang w:val="sq-AL" w:eastAsia="en-US" w:bidi="ar-SA"/>
        </w:rPr>
        <w:t xml:space="preserve">- hapësirat e terreneve të gjelbra, të pushimit, terreneve sportive e të lojrave për fëmijë, </w:t>
      </w:r>
    </w:p>
    <w:p>
      <w:pPr>
        <w:pStyle w:val="Normal"/>
        <w:spacing w:before="0" w:after="0"/>
        <w:jc w:val="both"/>
        <w:rPr>
          <w:rFonts w:cs="Calibri"/>
        </w:rPr>
      </w:pPr>
      <w:r>
        <w:rPr>
          <w:rFonts w:cs="Calibri"/>
          <w:lang w:val="sq-AL" w:eastAsia="en-US" w:bidi="ar-SA"/>
        </w:rPr>
        <w:t>- vendparkimet e automjeteve</w:t>
      </w:r>
    </w:p>
    <w:p>
      <w:pPr>
        <w:pStyle w:val="Normal"/>
        <w:spacing w:before="0" w:after="0"/>
        <w:jc w:val="both"/>
        <w:rPr>
          <w:rFonts w:cs="Calibri"/>
        </w:rPr>
      </w:pPr>
      <w:r>
        <w:rPr>
          <w:rFonts w:cs="Calibri"/>
          <w:lang w:val="sq-AL" w:eastAsia="en-US" w:bidi="ar-SA"/>
        </w:rPr>
        <w:t>- hyrjet për parkimet nëntokësore</w:t>
      </w:r>
    </w:p>
    <w:p>
      <w:pPr>
        <w:pStyle w:val="Normal"/>
        <w:spacing w:before="0" w:after="0"/>
        <w:jc w:val="both"/>
        <w:rPr>
          <w:rFonts w:cs="Calibri"/>
        </w:rPr>
      </w:pPr>
      <w:r>
        <w:rPr>
          <w:rFonts w:cs="Calibri"/>
          <w:lang w:val="sq-AL" w:eastAsia="en-US" w:bidi="ar-SA"/>
        </w:rPr>
        <w:t xml:space="preserve">- plani i përdorimit të tokës </w:t>
      </w:r>
    </w:p>
    <w:p>
      <w:pPr>
        <w:pStyle w:val="Normal"/>
        <w:spacing w:before="0" w:after="0"/>
        <w:jc w:val="both"/>
        <w:rPr>
          <w:rFonts w:cs="Calibri"/>
        </w:rPr>
      </w:pPr>
      <w:r>
        <w:rPr>
          <w:rFonts w:cs="Calibri"/>
          <w:lang w:val="sq-AL" w:eastAsia="en-US" w:bidi="ar-SA"/>
        </w:rPr>
        <w:t>- Perspektiva/aksonometri ajrore të zonës;</w:t>
      </w:r>
    </w:p>
    <w:p>
      <w:pPr>
        <w:pStyle w:val="Normal"/>
        <w:spacing w:before="0" w:after="0"/>
        <w:jc w:val="both"/>
        <w:rPr>
          <w:rFonts w:cs="Calibri"/>
        </w:rPr>
      </w:pPr>
      <w:r>
        <w:rPr>
          <w:rFonts w:cs="Calibri"/>
          <w:lang w:val="sq-AL" w:eastAsia="en-US" w:bidi="ar-SA"/>
        </w:rPr>
        <w:t>- Kriteret dhe rregullat përkatëse të zhvillimit;</w:t>
      </w:r>
    </w:p>
    <w:p>
      <w:pPr>
        <w:pStyle w:val="Normal"/>
        <w:spacing w:before="0" w:after="0"/>
        <w:jc w:val="both"/>
        <w:rPr>
          <w:rFonts w:cs="Calibri"/>
        </w:rPr>
      </w:pPr>
      <w:r>
        <w:rPr>
          <w:rFonts w:cs="Calibri"/>
          <w:lang w:val="sq-AL" w:eastAsia="en-US" w:bidi="ar-SA"/>
        </w:rPr>
        <w:t>- Treguesit per zhvillim (intensitetin e ndërtimit, koeficientin e shfrytëzimit të tokës për ndërtim, lartësinë maksimale në metra, distancat)</w:t>
      </w:r>
    </w:p>
    <w:p>
      <w:pPr>
        <w:pStyle w:val="Normal"/>
        <w:spacing w:before="0" w:after="0"/>
        <w:jc w:val="both"/>
        <w:rPr>
          <w:rFonts w:cs="Calibri"/>
        </w:rPr>
      </w:pPr>
      <w:r>
        <w:rPr>
          <w:rFonts w:cs="Calibri"/>
          <w:lang w:val="sq-AL" w:eastAsia="en-US" w:bidi="ar-SA"/>
        </w:rPr>
        <w:t>- Pozicioni në lidhje me njësine strukturore</w:t>
      </w:r>
    </w:p>
    <w:p>
      <w:pPr>
        <w:pStyle w:val="Normal"/>
        <w:jc w:val="both"/>
        <w:rPr>
          <w:rFonts w:cs="Calibri"/>
          <w:lang w:val="sq-AL" w:eastAsia="en-US" w:bidi="ar-SA"/>
        </w:rPr>
      </w:pPr>
      <w:r>
        <w:rPr>
          <w:rFonts w:cs="Calibri"/>
          <w:lang w:val="sq-AL" w:eastAsia="en-US" w:bidi="ar-SA"/>
        </w:rPr>
      </w:r>
    </w:p>
    <w:p>
      <w:pPr>
        <w:pStyle w:val="Normal"/>
        <w:jc w:val="both"/>
        <w:rPr>
          <w:rFonts w:cs="Calibri"/>
          <w:b/>
          <w:b/>
          <w:lang w:val="sq-AL" w:eastAsia="en-US" w:bidi="ar-SA"/>
        </w:rPr>
      </w:pPr>
      <w:r>
        <w:rPr>
          <w:rFonts w:cs="Calibri"/>
          <w:b/>
          <w:lang w:val="sq-AL" w:eastAsia="en-US" w:bidi="ar-SA"/>
        </w:rPr>
      </w:r>
    </w:p>
    <w:p>
      <w:pPr>
        <w:pStyle w:val="ListParagraph"/>
        <w:numPr>
          <w:ilvl w:val="0"/>
          <w:numId w:val="2"/>
        </w:numPr>
        <w:spacing w:before="0" w:after="160"/>
        <w:contextualSpacing/>
        <w:jc w:val="both"/>
        <w:rPr>
          <w:rFonts w:cs="Calibri"/>
          <w:b/>
          <w:b/>
        </w:rPr>
      </w:pPr>
      <w:r>
        <w:rPr>
          <w:rFonts w:cs="Calibri"/>
          <w:b/>
          <w:lang w:val="sq-AL" w:eastAsia="en-US" w:bidi="ar-SA"/>
        </w:rPr>
        <w:t>Hartimi i Rregullores së PDV-së</w:t>
      </w:r>
    </w:p>
    <w:p>
      <w:pPr>
        <w:pStyle w:val="Normal"/>
        <w:jc w:val="both"/>
        <w:rPr>
          <w:rFonts w:cs="Calibri"/>
        </w:rPr>
      </w:pPr>
      <w:r>
        <w:rPr>
          <w:rFonts w:cs="Calibri"/>
          <w:lang w:val="sq-AL" w:eastAsia="en-US" w:bidi="ar-SA"/>
        </w:rPr>
        <w:t xml:space="preserve">Faza e fundit e këtij procesi ka të bëjë me hartimin e rregullores së PDV-së, dokument në të cilin u specifikuan kriteret dhe përcaktimet për mënyrën se si do të zhvillohet zona, pra praktikisht se si do të përkthehen përcaktimet e këtij plani në të drejta zhvillimi/ndërtimi, infrastrukturë mbështetëse, apo elementë të tjerë territor-formues. </w:t>
      </w:r>
    </w:p>
    <w:p>
      <w:pPr>
        <w:pStyle w:val="Normal"/>
        <w:jc w:val="both"/>
        <w:rPr>
          <w:rFonts w:cs="Calibri"/>
          <w:lang w:val="sq-AL" w:eastAsia="en-US" w:bidi="ar-SA"/>
        </w:rPr>
      </w:pPr>
      <w:r>
        <w:rPr>
          <w:rFonts w:cs="Calibri"/>
          <w:lang w:val="sq-AL" w:eastAsia="en-US" w:bidi="ar-SA"/>
        </w:rPr>
      </w:r>
    </w:p>
    <w:p>
      <w:pPr>
        <w:pStyle w:val="Normal"/>
        <w:jc w:val="both"/>
        <w:rPr>
          <w:rFonts w:cs="Calibri"/>
          <w:lang w:val="sq-AL" w:eastAsia="en-US" w:bidi="ar-SA"/>
        </w:rPr>
      </w:pPr>
      <w:r>
        <w:rPr>
          <w:rFonts w:cs="Calibri"/>
          <w:lang w:val="sq-AL" w:eastAsia="en-US" w:bidi="ar-SA"/>
        </w:rPr>
      </w:r>
    </w:p>
    <w:p>
      <w:pPr>
        <w:pStyle w:val="Normal"/>
        <w:rPr>
          <w:rFonts w:cs="Calibri"/>
          <w:lang w:val="sq-AL" w:eastAsia="en-US" w:bidi="ar-SA"/>
        </w:rPr>
      </w:pPr>
      <w:r>
        <w:rPr>
          <w:rFonts w:cs="Calibri"/>
          <w:lang w:val="sq-AL" w:eastAsia="en-US" w:bidi="ar-SA"/>
        </w:rPr>
      </w:r>
    </w:p>
    <w:p>
      <w:pPr>
        <w:pStyle w:val="Normal"/>
        <w:rPr>
          <w:rFonts w:cs="Calibri"/>
          <w:lang w:val="sq-AL" w:eastAsia="en-US" w:bidi="ar-SA"/>
        </w:rPr>
      </w:pPr>
      <w:r>
        <w:rPr>
          <w:rFonts w:cs="Calibri"/>
          <w:lang w:val="sq-AL" w:eastAsia="en-US" w:bidi="ar-SA"/>
        </w:rPr>
      </w:r>
    </w:p>
    <w:p>
      <w:pPr>
        <w:pStyle w:val="Normal"/>
        <w:rPr>
          <w:rFonts w:cs="Calibri"/>
          <w:lang w:val="sq-AL" w:eastAsia="en-US" w:bidi="ar-SA"/>
        </w:rPr>
      </w:pPr>
      <w:r>
        <w:rPr>
          <w:rFonts w:cs="Calibri"/>
          <w:lang w:val="sq-AL" w:eastAsia="en-US" w:bidi="ar-SA"/>
        </w:rPr>
      </w:r>
    </w:p>
    <w:p>
      <w:pPr>
        <w:pStyle w:val="Normal"/>
        <w:rPr>
          <w:rFonts w:cs="Calibri"/>
          <w:lang w:val="sq-AL" w:eastAsia="en-US" w:bidi="ar-SA"/>
        </w:rPr>
      </w:pPr>
      <w:r>
        <w:rPr>
          <w:rFonts w:cs="Calibri"/>
          <w:lang w:val="sq-AL" w:eastAsia="en-US" w:bidi="ar-SA"/>
        </w:rPr>
      </w:r>
    </w:p>
    <w:p>
      <w:pPr>
        <w:pStyle w:val="Heading1"/>
        <w:spacing w:before="0" w:after="0"/>
        <w:rPr>
          <w:rFonts w:ascii="Calibri" w:hAnsi="Calibri" w:cs="Calibri"/>
          <w:b/>
          <w:b/>
          <w:color w:val="auto"/>
          <w:sz w:val="22"/>
          <w:szCs w:val="22"/>
        </w:rPr>
      </w:pPr>
      <w:bookmarkStart w:id="13" w:name="__RefHeading___Toc2520_2015891183"/>
      <w:bookmarkStart w:id="14" w:name="_Toc7790035"/>
      <w:bookmarkEnd w:id="13"/>
      <w:r>
        <w:rPr>
          <w:rFonts w:cs="Calibri" w:ascii="Calibri" w:hAnsi="Calibri"/>
          <w:b/>
          <w:color w:val="auto"/>
          <w:sz w:val="22"/>
          <w:szCs w:val="22"/>
          <w:lang w:val="sq-AL" w:eastAsia="en-US" w:bidi="ar-SA"/>
        </w:rPr>
        <w:t>1. Pozicioni i nën-njësisë në raport me njësinë strukturore</w:t>
      </w:r>
      <w:bookmarkEnd w:id="14"/>
    </w:p>
    <w:p>
      <w:pPr>
        <w:pStyle w:val="Normal"/>
        <w:spacing w:before="0" w:after="0"/>
        <w:rPr>
          <w:rFonts w:cs="Calibri"/>
          <w:lang w:val="sq-AL" w:eastAsia="en-US" w:bidi="ar-SA"/>
        </w:rPr>
      </w:pPr>
      <w:r>
        <w:rPr>
          <w:rFonts w:cs="Calibri"/>
          <w:lang w:val="sq-AL" w:eastAsia="en-US" w:bidi="ar-SA"/>
        </w:rPr>
      </w:r>
    </w:p>
    <w:p>
      <w:pPr>
        <w:pStyle w:val="Normal"/>
        <w:spacing w:before="0" w:after="0"/>
        <w:rPr>
          <w:lang w:val="sq-AL" w:eastAsia="en-US" w:bidi="ar-SA"/>
        </w:rPr>
      </w:pPr>
      <w:r>
        <w:rPr>
          <w:rFonts w:cs="Calibri"/>
          <w:lang w:val="sq-AL" w:eastAsia="en-US" w:bidi="ar-SA"/>
        </w:rPr>
        <w:t xml:space="preserve">Plani i Detajuar Vendor Faza II, i nën-njësisë strukturore 1, i njësisë strukturore TR/346, </w:t>
      </w:r>
      <w:r>
        <w:rPr>
          <w:rFonts w:cs="Calibri" w:ascii="Times New Roman" w:hAnsi="Times New Roman"/>
          <w:sz w:val="24"/>
          <w:szCs w:val="24"/>
          <w:lang w:val="sq-AL" w:eastAsia="en-US" w:bidi="ar-SA"/>
        </w:rPr>
        <w:t xml:space="preserve"> </w:t>
      </w:r>
      <w:r>
        <w:rPr>
          <w:rFonts w:cs="Calibri" w:ascii="Times New Roman" w:hAnsi="Times New Roman"/>
          <w:sz w:val="24"/>
          <w:szCs w:val="24"/>
          <w:lang w:val="sq-AL" w:eastAsia="en-US" w:bidi="ar-SA"/>
        </w:rPr>
        <w:t>p</w:t>
      </w:r>
      <w:r>
        <w:rPr>
          <w:rFonts w:cs="Calibri" w:ascii="Times New Roman" w:hAnsi="Times New Roman"/>
          <w:sz w:val="24"/>
          <w:szCs w:val="24"/>
          <w:lang w:val="sq-AL" w:eastAsia="en-US" w:bidi="ar-SA"/>
        </w:rPr>
        <w:t xml:space="preserve">ozicionohet në pjesën veriore të nësisë, përgjatë rrugës “Tefata Tashko Koço”. Zona në fjalë kufizohet në jug nga gjimnazi Ismail Qemali, në veri nga rruga “Tefata Tashko Koço”, nga objekte të ulëta në anen perëndimore dhe nga një objekt 5 kate në pjesën lindore. </w:t>
      </w:r>
    </w:p>
    <w:p>
      <w:pPr>
        <w:pStyle w:val="Normal"/>
        <w:spacing w:before="0" w:after="0"/>
        <w:rPr>
          <w:rFonts w:ascii="Calibri" w:hAnsi="Calibri" w:cs="Calibri"/>
          <w:lang w:val="sq-AL" w:eastAsia="en-US" w:bidi="ar-SA"/>
        </w:rPr>
      </w:pPr>
      <w:r>
        <w:rPr>
          <w:rFonts w:cs="Calibri"/>
          <w:lang w:val="sq-AL" w:eastAsia="en-US" w:bidi="ar-SA"/>
        </w:rPr>
        <w:drawing>
          <wp:anchor behindDoc="0" distT="0" distB="0" distL="0" distR="0" simplePos="0" locked="0" layoutInCell="1" allowOverlap="1" relativeHeight="3">
            <wp:simplePos x="0" y="0"/>
            <wp:positionH relativeFrom="column">
              <wp:posOffset>80010</wp:posOffset>
            </wp:positionH>
            <wp:positionV relativeFrom="paragraph">
              <wp:posOffset>123190</wp:posOffset>
            </wp:positionV>
            <wp:extent cx="5576570" cy="6082665"/>
            <wp:effectExtent l="0" t="0" r="0" b="0"/>
            <wp:wrapTopAndBottom/>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rcRect l="1217" t="5437" r="62386" b="38410"/>
                    <a:stretch>
                      <a:fillRect/>
                    </a:stretch>
                  </pic:blipFill>
                  <pic:spPr bwMode="auto">
                    <a:xfrm>
                      <a:off x="0" y="0"/>
                      <a:ext cx="5576570" cy="6082665"/>
                    </a:xfrm>
                    <a:prstGeom prst="rect">
                      <a:avLst/>
                    </a:prstGeom>
                  </pic:spPr>
                </pic:pic>
              </a:graphicData>
            </a:graphic>
          </wp:anchor>
        </w:drawing>
      </w:r>
    </w:p>
    <w:p>
      <w:pPr>
        <w:pStyle w:val="Caption1"/>
        <w:rPr>
          <w:lang w:val="sq-AL"/>
        </w:rPr>
      </w:pPr>
      <w:bookmarkStart w:id="15" w:name="_Toc7789981"/>
      <w:r>
        <w:rPr>
          <w:b w:val="false"/>
          <w:i/>
          <w:color w:val="auto"/>
          <w:sz w:val="16"/>
          <w:lang w:val="sq-AL" w:eastAsia="en-US" w:bidi="ar-SA"/>
        </w:rPr>
        <w:t xml:space="preserve">Figura </w:t>
      </w:r>
      <w:r>
        <w:rPr>
          <w:b w:val="false"/>
          <w:i/>
          <w:sz w:val="16"/>
          <w:lang w:val="sq-AL" w:eastAsia="en-US" w:bidi="ar-SA"/>
        </w:rPr>
        <w:fldChar w:fldCharType="begin"/>
      </w:r>
      <w:r>
        <w:rPr>
          <w:sz w:val="16"/>
          <w:i/>
          <w:b w:val="false"/>
        </w:rPr>
        <w:instrText> SEQ Figura \* ARABIC </w:instrText>
      </w:r>
      <w:r>
        <w:rPr>
          <w:sz w:val="16"/>
          <w:i/>
          <w:b w:val="false"/>
        </w:rPr>
        <w:fldChar w:fldCharType="separate"/>
      </w:r>
      <w:r>
        <w:rPr>
          <w:sz w:val="16"/>
          <w:i/>
          <w:b w:val="false"/>
        </w:rPr>
        <w:t>1</w:t>
      </w:r>
      <w:r>
        <w:rPr>
          <w:sz w:val="16"/>
          <w:i/>
          <w:b w:val="false"/>
        </w:rPr>
        <w:fldChar w:fldCharType="end"/>
      </w:r>
      <w:r>
        <w:rPr>
          <w:b w:val="false"/>
          <w:i/>
          <w:color w:val="auto"/>
          <w:sz w:val="16"/>
          <w:lang w:val="sq-AL" w:eastAsia="en-US" w:bidi="ar-SA"/>
        </w:rPr>
        <w:t>_Harta e mënyrave të ndërhyrjes në territor, njësia strukturore TR/3</w:t>
      </w:r>
      <w:bookmarkEnd w:id="15"/>
      <w:r>
        <w:rPr>
          <w:b w:val="false"/>
          <w:i/>
          <w:color w:val="auto"/>
          <w:sz w:val="16"/>
          <w:lang w:val="sq-AL" w:eastAsia="en-US" w:bidi="ar-SA"/>
        </w:rPr>
        <w:t>46</w:t>
      </w:r>
    </w:p>
    <w:p>
      <w:pPr>
        <w:pStyle w:val="Normal"/>
        <w:rPr>
          <w:rFonts w:cs="Calibri"/>
          <w:lang w:val="sq-AL" w:eastAsia="en-US" w:bidi="ar-SA"/>
        </w:rPr>
      </w:pPr>
      <w:r>
        <w:rPr>
          <w:rFonts w:cs="Calibri"/>
          <w:lang w:val="sq-AL" w:eastAsia="en-US" w:bidi="ar-SA"/>
        </w:rPr>
      </w:r>
    </w:p>
    <w:p>
      <w:pPr>
        <w:pStyle w:val="Normal"/>
        <w:rPr>
          <w:rFonts w:cs="Calibri"/>
          <w:lang w:val="sq-AL" w:eastAsia="en-US" w:bidi="ar-SA"/>
        </w:rPr>
      </w:pPr>
      <w:r>
        <w:rPr>
          <w:rFonts w:cs="Calibri"/>
          <w:lang w:val="sq-AL" w:eastAsia="en-US" w:bidi="ar-SA"/>
        </w:rPr>
      </w:r>
    </w:p>
    <w:p>
      <w:pPr>
        <w:pStyle w:val="Normal"/>
        <w:rPr>
          <w:rFonts w:cs="Calibri"/>
          <w:lang w:val="sq-AL" w:eastAsia="en-US" w:bidi="ar-SA"/>
        </w:rPr>
      </w:pPr>
      <w:r>
        <w:rPr>
          <w:rFonts w:cs="Calibri"/>
          <w:lang w:val="sq-AL" w:eastAsia="en-US" w:bidi="ar-SA"/>
        </w:rPr>
      </w:r>
    </w:p>
    <w:p>
      <w:pPr>
        <w:pStyle w:val="Normal"/>
        <w:rPr>
          <w:lang w:val="sq-AL" w:eastAsia="en-US" w:bidi="ar-SA"/>
        </w:rPr>
      </w:pPr>
      <w:r>
        <w:rPr>
          <w:rFonts w:cs="Calibri"/>
          <w:lang w:val="sq-AL" w:eastAsia="en-US" w:bidi="ar-SA"/>
        </w:rPr>
        <w:t>Sipërfaqja bruto e nën-njësisë është  S</w:t>
      </w:r>
      <w:r>
        <w:rPr>
          <w:rFonts w:cs="Calibri"/>
          <w:vertAlign w:val="subscript"/>
          <w:lang w:val="sq-AL" w:eastAsia="en-US" w:bidi="ar-SA"/>
        </w:rPr>
        <w:t xml:space="preserve">bruto </w:t>
      </w:r>
      <w:r>
        <w:rPr>
          <w:rFonts w:cs="Calibri"/>
          <w:lang w:val="sq-AL" w:eastAsia="en-US" w:bidi="ar-SA"/>
        </w:rPr>
        <w:t xml:space="preserve">= </w:t>
      </w:r>
      <w:r>
        <w:rPr>
          <w:rFonts w:cs="Calibri"/>
          <w:lang w:val="sq-AL" w:eastAsia="en-US" w:bidi="ar-SA"/>
        </w:rPr>
        <w:t>2107</w:t>
      </w:r>
      <w:r>
        <w:rPr>
          <w:rFonts w:cs="Calibri"/>
          <w:lang w:val="sq-AL" w:eastAsia="en-US" w:bidi="ar-SA"/>
        </w:rPr>
        <w:t xml:space="preserve"> m</w:t>
      </w:r>
      <w:r>
        <w:rPr>
          <w:rFonts w:cs="Calibri"/>
          <w:vertAlign w:val="superscript"/>
          <w:lang w:val="sq-AL" w:eastAsia="en-US" w:bidi="ar-SA"/>
        </w:rPr>
        <w:t>2</w:t>
      </w:r>
    </w:p>
    <w:p>
      <w:pPr>
        <w:pStyle w:val="Normal"/>
        <w:rPr>
          <w:rFonts w:cs="Calibri"/>
        </w:rPr>
      </w:pPr>
      <w:r>
        <w:rPr>
          <w:rFonts w:cs="Calibri"/>
          <w:lang w:val="sq-AL" w:eastAsia="en-US" w:bidi="ar-SA"/>
        </w:rPr>
        <w:t xml:space="preserve">Njësia strukturore TR/346 përbëhet kryesisht nga objekte me funksion kryesor banimin dhe një institucion arsimor i rëndësishëm në nivel zone dhe qyteti, </w:t>
      </w:r>
      <w:r>
        <w:rPr>
          <w:rFonts w:cs="Calibri"/>
          <w:lang w:val="sq-AL" w:eastAsia="en-US" w:bidi="ar-SA"/>
        </w:rPr>
        <w:t xml:space="preserve">gjimnazi </w:t>
      </w:r>
      <w:r>
        <w:rPr>
          <w:rFonts w:cs="Calibri"/>
          <w:lang w:val="sq-AL" w:eastAsia="en-US" w:bidi="ar-SA"/>
        </w:rPr>
        <w:t>“</w:t>
      </w:r>
      <w:r>
        <w:rPr>
          <w:rFonts w:cs="Calibri"/>
          <w:lang w:val="sq-AL" w:eastAsia="en-US" w:bidi="ar-SA"/>
        </w:rPr>
        <w:t>Ismail Qemali</w:t>
      </w:r>
      <w:r>
        <w:rPr>
          <w:rFonts w:cs="Calibri"/>
          <w:lang w:val="sq-AL" w:eastAsia="en-US" w:bidi="ar-SA"/>
        </w:rPr>
        <w:t>”.</w:t>
      </w:r>
    </w:p>
    <w:p>
      <w:pPr>
        <w:pStyle w:val="Normal"/>
        <w:rPr>
          <w:rFonts w:cs="Calibri"/>
          <w:lang w:val="sq-AL" w:eastAsia="en-US" w:bidi="ar-SA"/>
        </w:rPr>
      </w:pPr>
      <w:r>
        <w:rPr>
          <w:rFonts w:cs="Calibri"/>
          <w:lang w:val="sq-AL" w:eastAsia="en-US" w:bidi="ar-SA"/>
        </w:rPr>
      </w:r>
    </w:p>
    <w:p>
      <w:pPr>
        <w:pStyle w:val="Caption1"/>
        <w:rPr>
          <w:lang w:val="sq-AL" w:eastAsia="en-US" w:bidi="ar-SA"/>
        </w:rPr>
      </w:pPr>
      <w:bookmarkStart w:id="16" w:name="_Toc7789982"/>
      <w:r>
        <w:drawing>
          <wp:anchor behindDoc="0" distT="0" distB="0" distL="0" distR="0" simplePos="0" locked="0" layoutInCell="1" allowOverlap="1" relativeHeight="4">
            <wp:simplePos x="0" y="0"/>
            <wp:positionH relativeFrom="column">
              <wp:posOffset>-46990</wp:posOffset>
            </wp:positionH>
            <wp:positionV relativeFrom="paragraph">
              <wp:posOffset>17780</wp:posOffset>
            </wp:positionV>
            <wp:extent cx="5831840" cy="5686425"/>
            <wp:effectExtent l="0" t="0" r="0" b="0"/>
            <wp:wrapTopAndBottom/>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rcRect l="1373" t="7851" r="37267" b="7487"/>
                    <a:stretch>
                      <a:fillRect/>
                    </a:stretch>
                  </pic:blipFill>
                  <pic:spPr bwMode="auto">
                    <a:xfrm>
                      <a:off x="0" y="0"/>
                      <a:ext cx="5831840" cy="5686425"/>
                    </a:xfrm>
                    <a:prstGeom prst="rect">
                      <a:avLst/>
                    </a:prstGeom>
                  </pic:spPr>
                </pic:pic>
              </a:graphicData>
            </a:graphic>
          </wp:anchor>
        </w:drawing>
      </w:r>
      <w:r>
        <w:rPr>
          <w:b w:val="false"/>
          <w:i/>
          <w:color w:val="auto"/>
          <w:sz w:val="16"/>
          <w:lang w:val="sq-AL" w:eastAsia="en-US" w:bidi="ar-SA"/>
        </w:rPr>
        <w:t xml:space="preserve">Figura </w:t>
      </w:r>
      <w:r>
        <w:rPr>
          <w:b w:val="false"/>
          <w:i/>
          <w:sz w:val="16"/>
          <w:lang w:val="sq-AL" w:eastAsia="en-US" w:bidi="ar-SA"/>
        </w:rPr>
        <w:fldChar w:fldCharType="begin"/>
      </w:r>
      <w:r>
        <w:rPr>
          <w:sz w:val="16"/>
          <w:i/>
          <w:b w:val="false"/>
        </w:rPr>
        <w:instrText> SEQ Figura \* ARABIC </w:instrText>
      </w:r>
      <w:r>
        <w:rPr>
          <w:sz w:val="16"/>
          <w:i/>
          <w:b w:val="false"/>
        </w:rPr>
        <w:fldChar w:fldCharType="separate"/>
      </w:r>
      <w:r>
        <w:rPr>
          <w:sz w:val="16"/>
          <w:i/>
          <w:b w:val="false"/>
        </w:rPr>
        <w:t>2</w:t>
      </w:r>
      <w:r>
        <w:rPr>
          <w:sz w:val="16"/>
          <w:i/>
          <w:b w:val="false"/>
        </w:rPr>
        <w:fldChar w:fldCharType="end"/>
      </w:r>
      <w:r>
        <w:rPr>
          <w:b w:val="false"/>
          <w:i/>
          <w:color w:val="auto"/>
          <w:sz w:val="16"/>
          <w:lang w:val="sq-AL" w:eastAsia="en-US" w:bidi="ar-SA"/>
        </w:rPr>
        <w:t xml:space="preserve">_Harta e gjendjes ekzistuese për njesine strukturore Tr/346 në nën-njësinë </w:t>
      </w:r>
      <w:bookmarkEnd w:id="16"/>
      <w:r>
        <w:rPr>
          <w:b w:val="false"/>
          <w:i/>
          <w:color w:val="auto"/>
          <w:sz w:val="16"/>
          <w:lang w:val="sq-AL" w:eastAsia="en-US" w:bidi="ar-SA"/>
        </w:rPr>
        <w:t>1</w:t>
      </w:r>
    </w:p>
    <w:p>
      <w:pPr>
        <w:pStyle w:val="NoSpacing"/>
        <w:spacing w:lineRule="auto" w:line="276"/>
        <w:jc w:val="both"/>
        <w:rPr>
          <w:rFonts w:ascii="Calibri" w:hAnsi="Calibri" w:cs="Calibri"/>
          <w:lang w:val="sq-AL" w:eastAsia="en-US" w:bidi="ar-SA"/>
        </w:rPr>
      </w:pPr>
      <w:r>
        <w:rPr>
          <w:rFonts w:cs="Calibri"/>
          <w:lang w:val="sq-AL" w:eastAsia="en-US" w:bidi="ar-SA"/>
        </w:rPr>
      </w:r>
    </w:p>
    <w:p>
      <w:pPr>
        <w:pStyle w:val="NoSpacing"/>
        <w:spacing w:lineRule="auto" w:line="276"/>
        <w:jc w:val="both"/>
        <w:rPr>
          <w:rFonts w:ascii="Calibri" w:hAnsi="Calibri"/>
          <w:lang w:val="sq-AL" w:eastAsia="en-US" w:bidi="ar-SA"/>
        </w:rPr>
      </w:pPr>
      <w:r>
        <w:rPr>
          <w:rFonts w:ascii="Calibri" w:hAnsi="Calibri"/>
          <w:sz w:val="24"/>
          <w:szCs w:val="24"/>
          <w:lang w:val="sq-AL" w:eastAsia="en-US" w:bidi="ar-SA"/>
        </w:rPr>
        <w:t xml:space="preserve">Në këtë zonë janë të vendosura objekte te ulëta të ndërtuara kryesisht para 1990-ës, me funksion banim, me lartësi 1-2 kate tullë. </w:t>
      </w:r>
    </w:p>
    <w:p>
      <w:pPr>
        <w:pStyle w:val="Normal"/>
        <w:ind w:right="175" w:hanging="0"/>
        <w:jc w:val="both"/>
        <w:rPr>
          <w:rFonts w:ascii="Calibri" w:hAnsi="Calibri"/>
          <w:lang w:val="sq-AL" w:eastAsia="en-US" w:bidi="ar-SA"/>
        </w:rPr>
      </w:pPr>
      <w:r>
        <w:rPr>
          <w:rFonts w:eastAsia="" w:cs="" w:ascii="Calibri" w:hAnsi="Calibri" w:cstheme="minorBidi" w:eastAsiaTheme="minorEastAsia"/>
          <w:sz w:val="24"/>
          <w:szCs w:val="24"/>
          <w:lang w:val="sq-AL" w:eastAsia="en-US" w:bidi="ar-SA"/>
        </w:rPr>
        <w:t>Sipas propozimit</w:t>
      </w:r>
      <w:r>
        <w:rPr>
          <w:rFonts w:eastAsia="Times New Roman" w:ascii="Calibri" w:hAnsi="Calibri"/>
          <w:sz w:val="24"/>
          <w:szCs w:val="24"/>
          <w:lang w:val="sq-AL" w:eastAsia="en-US" w:bidi="ar-SA"/>
        </w:rPr>
        <w:t xml:space="preserve"> të PDV-së </w:t>
      </w:r>
      <w:r>
        <w:rPr>
          <w:rFonts w:eastAsia="" w:cs="" w:ascii="Calibri" w:hAnsi="Calibri" w:cstheme="minorBidi" w:eastAsiaTheme="minorEastAsia"/>
          <w:sz w:val="24"/>
          <w:szCs w:val="24"/>
          <w:lang w:val="sq-AL" w:eastAsia="en-US" w:bidi="ar-SA"/>
        </w:rPr>
        <w:t xml:space="preserve">së fazës së parë, </w:t>
      </w:r>
      <w:r>
        <w:rPr>
          <w:rFonts w:eastAsia="" w:cs="" w:ascii="Calibri" w:hAnsi="Calibri" w:cstheme="minorBidi" w:eastAsiaTheme="minorEastAsia"/>
          <w:sz w:val="24"/>
          <w:szCs w:val="24"/>
          <w:lang w:val="sq-AL" w:eastAsia="en-US" w:bidi="ar-SA"/>
        </w:rPr>
        <w:t xml:space="preserve">nwn-njwsia </w:t>
      </w:r>
      <w:r>
        <w:rPr>
          <w:rFonts w:eastAsia="" w:cs="" w:ascii="Calibri" w:hAnsi="Calibri" w:cstheme="minorBidi" w:eastAsiaTheme="minorEastAsia"/>
          <w:sz w:val="24"/>
          <w:szCs w:val="24"/>
          <w:lang w:val="sq-AL" w:eastAsia="en-US" w:bidi="ar-SA"/>
        </w:rPr>
        <w:t xml:space="preserve">1 do t’i nënshtrohet rizhvillimit dhe </w:t>
      </w:r>
      <w:r>
        <w:rPr>
          <w:rFonts w:eastAsia="Calibri" w:ascii="Calibri" w:hAnsi="Calibri" w:eastAsiaTheme="minorHAnsi"/>
          <w:color w:val="000000"/>
          <w:sz w:val="24"/>
          <w:szCs w:val="24"/>
          <w:lang w:val="sq-AL" w:eastAsia="en-US" w:bidi="ar-SA"/>
        </w:rPr>
        <w:t>të gjitha lejet do të jepen sipas marrëveshjeve përkatëse duke shembur më parë ndërtesat 1-kat për ndërtimin e godinave të reja .</w:t>
      </w:r>
    </w:p>
    <w:p>
      <w:pPr>
        <w:pStyle w:val="Normal"/>
        <w:spacing w:before="0" w:after="0"/>
        <w:ind w:right="175" w:hanging="0"/>
        <w:jc w:val="both"/>
        <w:rPr>
          <w:rFonts w:ascii="Calibri" w:hAnsi="Calibri"/>
          <w:lang w:val="sq-AL" w:eastAsia="en-US" w:bidi="ar-SA"/>
        </w:rPr>
      </w:pPr>
      <w:r>
        <w:rPr>
          <w:rFonts w:eastAsia="Times New Roman" w:ascii="Calibri" w:hAnsi="Calibri"/>
          <w:sz w:val="24"/>
          <w:szCs w:val="24"/>
          <w:lang w:val="sq-AL" w:eastAsia="en-US" w:bidi="ar-SA"/>
        </w:rPr>
        <w:t>Rrjeti rrugor i propozuar gjatë fazës së parë, ritrajton rrug</w:t>
      </w:r>
      <w:r>
        <w:rPr>
          <w:rFonts w:ascii="Calibri" w:hAnsi="Calibri"/>
          <w:sz w:val="24"/>
          <w:szCs w:val="24"/>
          <w:lang w:val="sq-AL" w:eastAsia="en-US" w:bidi="ar-SA"/>
        </w:rPr>
        <w:t>ë</w:t>
      </w:r>
      <w:r>
        <w:rPr>
          <w:rFonts w:eastAsia="Times New Roman" w:ascii="Calibri" w:hAnsi="Calibri"/>
          <w:sz w:val="24"/>
          <w:szCs w:val="24"/>
          <w:lang w:val="sq-AL" w:eastAsia="en-US" w:bidi="ar-SA"/>
        </w:rPr>
        <w:t xml:space="preserve">n </w:t>
      </w:r>
      <w:r>
        <w:rPr>
          <w:rFonts w:eastAsia="" w:cs="" w:ascii="Calibri" w:hAnsi="Calibri" w:cstheme="minorBidi" w:eastAsiaTheme="minorEastAsia"/>
          <w:sz w:val="24"/>
          <w:szCs w:val="24"/>
          <w:lang w:val="sq-AL" w:eastAsia="en-US" w:bidi="ar-SA"/>
        </w:rPr>
        <w:t>“</w:t>
      </w:r>
      <w:r>
        <w:rPr>
          <w:rFonts w:ascii="Calibri" w:hAnsi="Calibri"/>
          <w:sz w:val="24"/>
          <w:szCs w:val="24"/>
          <w:lang w:val="sq-AL" w:eastAsia="en-US" w:bidi="ar-SA"/>
        </w:rPr>
        <w:t>Tefata Tashko Koço</w:t>
      </w:r>
      <w:r>
        <w:rPr>
          <w:rFonts w:eastAsia="" w:cs="" w:ascii="Calibri" w:hAnsi="Calibri" w:cstheme="minorBidi" w:eastAsiaTheme="minorEastAsia"/>
          <w:sz w:val="24"/>
          <w:szCs w:val="24"/>
          <w:lang w:val="sq-AL" w:eastAsia="en-US" w:bidi="ar-SA"/>
        </w:rPr>
        <w:t xml:space="preserve">” </w:t>
      </w:r>
      <w:r>
        <w:rPr>
          <w:rFonts w:eastAsia="Times New Roman" w:ascii="Calibri" w:hAnsi="Calibri"/>
          <w:sz w:val="24"/>
          <w:szCs w:val="24"/>
          <w:lang w:val="sq-AL" w:eastAsia="en-US" w:bidi="ar-SA"/>
        </w:rPr>
        <w:t xml:space="preserve"> nëpërmjet zgjerimit dhe sistemimit të saj n</w:t>
      </w:r>
      <w:r>
        <w:rPr>
          <w:rFonts w:ascii="Calibri" w:hAnsi="Calibri"/>
          <w:sz w:val="24"/>
          <w:szCs w:val="24"/>
          <w:lang w:val="sq-AL" w:eastAsia="en-US" w:bidi="ar-SA"/>
        </w:rPr>
        <w:t>ë</w:t>
      </w:r>
      <w:r>
        <w:rPr>
          <w:rFonts w:eastAsia="Times New Roman" w:ascii="Calibri" w:hAnsi="Calibri"/>
          <w:sz w:val="24"/>
          <w:szCs w:val="24"/>
          <w:lang w:val="sq-AL" w:eastAsia="en-US" w:bidi="ar-SA"/>
        </w:rPr>
        <w:t xml:space="preserve"> dimensione tërthore prej 15m.  </w:t>
      </w:r>
    </w:p>
    <w:p>
      <w:pPr>
        <w:pStyle w:val="Normal"/>
        <w:spacing w:lineRule="auto" w:line="276" w:before="0" w:after="0"/>
        <w:ind w:right="175" w:hanging="0"/>
        <w:jc w:val="both"/>
        <w:rPr>
          <w:rFonts w:ascii="Calibri" w:hAnsi="Calibri"/>
          <w:lang w:val="sq-AL" w:eastAsia="en-US" w:bidi="ar-SA"/>
        </w:rPr>
      </w:pPr>
      <w:r>
        <w:rPr>
          <w:rFonts w:eastAsia="Times New Roman" w:cs="Calibri" w:ascii="Calibri" w:hAnsi="Calibri"/>
          <w:sz w:val="24"/>
          <w:szCs w:val="24"/>
          <w:lang w:val="sq-AL" w:eastAsia="en-US" w:bidi="ar-SA"/>
        </w:rPr>
        <w:t>Në ristrukturimin e rrugëve parashikohen edhe parkimet e automjeteve, ndërkohë strukturat e reja të propozuara në zonë do të kënë minimalisht një kat parkim nëntokë, me pandus që fillon brenda gjurmës së objektit. Në këtë mënyrë rikonstruksioni i rrugëve dhe parkimet nëtokësore do lehtësojë zhvillimin e funksioneve e aktiviteteve në shërbim të përdoruesve të saj.</w:t>
      </w:r>
    </w:p>
    <w:p>
      <w:pPr>
        <w:pStyle w:val="Normal"/>
        <w:spacing w:lineRule="auto" w:line="276" w:before="0" w:after="0"/>
        <w:ind w:right="175" w:hanging="0"/>
        <w:jc w:val="both"/>
        <w:rPr>
          <w:rFonts w:eastAsia="Times New Roman" w:cs="Calibri"/>
          <w:sz w:val="24"/>
          <w:szCs w:val="24"/>
        </w:rPr>
      </w:pPr>
      <w:r>
        <w:rPr>
          <w:rFonts w:ascii="Calibri" w:hAnsi="Calibri"/>
          <w:lang w:val="sq-AL" w:eastAsia="en-US" w:bidi="ar-SA"/>
        </w:rPr>
      </w:r>
    </w:p>
    <w:p>
      <w:pPr>
        <w:pStyle w:val="Heading1"/>
        <w:rPr>
          <w:lang w:val="sq-AL" w:eastAsia="en-US" w:bidi="ar-SA"/>
        </w:rPr>
      </w:pPr>
      <w:bookmarkStart w:id="17" w:name="__RefHeading___Toc2522_2015891183"/>
      <w:bookmarkStart w:id="18" w:name="_Toc7790036"/>
      <w:bookmarkEnd w:id="17"/>
      <w:r>
        <w:rPr>
          <w:rFonts w:cs="Calibri" w:ascii="Calibri" w:hAnsi="Calibri"/>
          <w:b/>
          <w:color w:val="auto"/>
          <w:sz w:val="22"/>
          <w:szCs w:val="22"/>
          <w:lang w:val="sq-AL" w:eastAsia="en-US" w:bidi="ar-SA"/>
        </w:rPr>
        <w:t>2. Treguesit e përgjithshëm</w:t>
      </w:r>
      <w:bookmarkEnd w:id="18"/>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Normal"/>
        <w:spacing w:before="0" w:after="0"/>
        <w:ind w:right="175" w:hanging="0"/>
        <w:jc w:val="both"/>
        <w:rPr>
          <w:rFonts w:eastAsia="Times New Roman" w:cs="Calibri"/>
          <w:bCs/>
        </w:rPr>
      </w:pPr>
      <w:r>
        <w:rPr>
          <w:rFonts w:eastAsia="Times New Roman" w:cs="Calibri"/>
          <w:bCs/>
          <w:lang w:val="sq-AL" w:eastAsia="en-US" w:bidi="ar-SA"/>
        </w:rPr>
        <w:t>Kriteret  në fazën e dytë të kësaj PDV i përgjigjen përcaktimeve të fazës së parë. Distancat e ndërhyrjes së propozuar i referohen kontureve të menaxhimit, akseve të sistemit rrugor dhe vijës së ndërtimit të propozuar në fazën e parë të PDV-së, bazuar në përcaktimet e legjislacionit në fushën e planifikimit dhe zhvillimit të territorit, në zbatim të vendimit nr. 9 dt.17.02.2016 të Këshillit Kombëtar të Territorit, për “Zbatimin e Planeve të Përgjithshme Vendore nga autoritetet vendore të zhvillimit të territorit” (i ndryshuar).</w:t>
      </w:r>
    </w:p>
    <w:p>
      <w:pPr>
        <w:pStyle w:val="Normal"/>
        <w:spacing w:before="0" w:after="0"/>
        <w:ind w:right="175" w:hanging="0"/>
        <w:jc w:val="both"/>
        <w:rPr>
          <w:rFonts w:eastAsia="Times New Roman" w:cs="Calibri"/>
          <w:bCs/>
          <w:lang w:val="sq-AL" w:eastAsia="en-US" w:bidi="ar-SA"/>
        </w:rPr>
      </w:pPr>
      <w:r>
        <w:rPr>
          <w:rFonts w:eastAsia="Times New Roman" w:cs="Calibri"/>
          <w:bCs/>
          <w:lang w:val="sq-AL" w:eastAsia="en-US" w:bidi="ar-SA"/>
        </w:rPr>
      </w:r>
    </w:p>
    <w:p>
      <w:pPr>
        <w:pStyle w:val="NoSpacing"/>
        <w:spacing w:lineRule="auto" w:line="276"/>
        <w:jc w:val="both"/>
        <w:rPr>
          <w:lang w:val="sq-AL" w:eastAsia="en-US" w:bidi="ar-SA"/>
        </w:rPr>
      </w:pPr>
      <w:r>
        <w:rPr>
          <w:rFonts w:eastAsia="Times New Roman" w:cs="Calibri"/>
          <w:bCs/>
          <w:lang w:val="sq-AL" w:eastAsia="en-US" w:bidi="ar-SA"/>
        </w:rPr>
        <w:t xml:space="preserve">Sipas propozimeve të PDV-së territori i njësisë strukturore TR/346 ndahet </w:t>
      </w:r>
      <w:r>
        <w:rPr>
          <w:rFonts w:cs="Calibri" w:cstheme="minorHAnsi"/>
          <w:lang w:val="sq-AL" w:eastAsia="en-US" w:bidi="ar-SA"/>
        </w:rPr>
        <w:t xml:space="preserve">ndahet në </w:t>
      </w:r>
      <w:r>
        <w:rPr>
          <w:rFonts w:cs="Calibri" w:cstheme="minorHAnsi"/>
          <w:lang w:val="sq-AL" w:eastAsia="en-US" w:bidi="ar-SA"/>
        </w:rPr>
        <w:t>10</w:t>
      </w:r>
      <w:r>
        <w:rPr>
          <w:rFonts w:cs="Calibri" w:cstheme="minorHAnsi"/>
          <w:lang w:val="sq-AL" w:eastAsia="en-US" w:bidi="ar-SA"/>
        </w:rPr>
        <w:t xml:space="preserve"> nën-njësi  zhvillimore, prej të cilave </w:t>
      </w:r>
      <w:r>
        <w:rPr>
          <w:rFonts w:cs="Calibri" w:cstheme="minorHAnsi"/>
          <w:lang w:val="sq-AL" w:eastAsia="en-US" w:bidi="ar-SA"/>
        </w:rPr>
        <w:t>2</w:t>
      </w:r>
      <w:r>
        <w:rPr>
          <w:rFonts w:cs="Calibri" w:cstheme="minorHAnsi"/>
          <w:lang w:val="sq-AL" w:eastAsia="en-US" w:bidi="ar-SA"/>
        </w:rPr>
        <w:t xml:space="preserve"> janë nën-njësi </w:t>
      </w:r>
      <w:r>
        <w:rPr>
          <w:rFonts w:cs="Calibri" w:cstheme="minorHAnsi"/>
          <w:lang w:val="sq-AL" w:eastAsia="en-US" w:bidi="ar-SA"/>
        </w:rPr>
        <w:t>pwr ristrukturim, 3 janw nwn-njwsi pwr rizhvillim, 4 janw nwn-njwsi pwr transferim dhe 1 wshtw njwsi pwr konservim dhe ristrukturim.</w:t>
      </w:r>
    </w:p>
    <w:p>
      <w:pPr>
        <w:pStyle w:val="Normal"/>
        <w:ind w:right="175" w:hanging="0"/>
        <w:jc w:val="both"/>
        <w:rPr>
          <w:rFonts w:cs="Calibri"/>
          <w:lang w:val="sq-AL" w:eastAsia="en-US" w:bidi="ar-SA"/>
        </w:rPr>
      </w:pPr>
      <w:r>
        <w:rPr>
          <w:rFonts w:cs="Calibri"/>
          <w:lang w:val="sq-AL" w:eastAsia="en-US" w:bidi="ar-SA"/>
        </w:rPr>
      </w:r>
    </w:p>
    <w:p>
      <w:pPr>
        <w:pStyle w:val="Normal"/>
        <w:ind w:right="175" w:hanging="0"/>
        <w:jc w:val="both"/>
        <w:rPr>
          <w:lang w:val="sq-AL" w:eastAsia="en-US" w:bidi="ar-SA"/>
        </w:rPr>
      </w:pPr>
      <w:r>
        <w:rPr>
          <w:rFonts w:cs="Calibri"/>
          <w:lang w:val="sq-AL" w:eastAsia="en-US" w:bidi="ar-SA"/>
        </w:rPr>
        <w:t xml:space="preserve">Më poshtë jepen konkretisht propozimet mbi treguesit e zhvillimit të nën-njësisë </w:t>
      </w:r>
      <w:r>
        <w:rPr>
          <w:rFonts w:cs="Calibri"/>
          <w:lang w:val="sq-AL" w:eastAsia="en-US" w:bidi="ar-SA"/>
        </w:rPr>
        <w:t>1</w:t>
      </w:r>
      <w:r>
        <w:rPr>
          <w:rFonts w:cs="Calibri"/>
          <w:lang w:val="sq-AL" w:eastAsia="en-US" w:bidi="ar-SA"/>
        </w:rPr>
        <w:t xml:space="preserve"> të njësisë strukturore TR/346 dhe sipërfaqet e shfrytëzuara për hapësirat publike të tipit rrugë, sheshe, gjelbërim dhe ndërtim për zonën në studim.</w:t>
      </w:r>
    </w:p>
    <w:p>
      <w:pPr>
        <w:pStyle w:val="Normal"/>
        <w:spacing w:before="0" w:after="0"/>
        <w:ind w:right="175" w:hanging="0"/>
        <w:jc w:val="both"/>
        <w:rPr>
          <w:rFonts w:cs="Calibri"/>
          <w:lang w:val="sq-AL" w:eastAsia="en-US" w:bidi="ar-SA"/>
        </w:rPr>
      </w:pPr>
      <w:r>
        <w:rPr>
          <w:rFonts w:cs="Calibri"/>
          <w:lang w:val="sq-AL" w:eastAsia="en-US" w:bidi="ar-SA"/>
        </w:rPr>
      </w:r>
    </w:p>
    <w:p>
      <w:pPr>
        <w:pStyle w:val="Anisarelacioni"/>
        <w:rPr>
          <w:lang w:val="sq-AL" w:eastAsia="en-US" w:bidi="ar-SA"/>
        </w:rPr>
      </w:pPr>
      <w:r>
        <w:rPr>
          <w:rFonts w:cs="Calibri" w:ascii="Calibri" w:hAnsi="Calibri"/>
          <w:sz w:val="22"/>
          <w:szCs w:val="22"/>
          <w:lang w:val="sq-AL" w:eastAsia="en-US" w:bidi="ar-SA"/>
        </w:rPr>
        <w:t xml:space="preserve">Nën-njësia </w:t>
      </w:r>
      <w:r>
        <w:rPr>
          <w:rFonts w:cs="Calibri" w:ascii="Calibri" w:hAnsi="Calibri"/>
          <w:sz w:val="22"/>
          <w:szCs w:val="22"/>
          <w:lang w:val="sq-AL" w:eastAsia="en-US" w:bidi="ar-SA"/>
        </w:rPr>
        <w:t>1</w:t>
      </w:r>
      <w:r>
        <w:rPr>
          <w:rFonts w:cs="Calibri" w:ascii="Calibri" w:hAnsi="Calibri"/>
          <w:sz w:val="22"/>
          <w:szCs w:val="22"/>
          <w:lang w:val="sq-AL" w:eastAsia="en-US" w:bidi="ar-SA"/>
        </w:rPr>
        <w:t xml:space="preserve"> është nën-njësi për rizhvillim.</w:t>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Anisarelacioni"/>
        <w:rPr>
          <w:lang w:val="sq-AL" w:eastAsia="en-US" w:bidi="ar-SA"/>
        </w:rPr>
      </w:pPr>
      <w:r>
        <w:rPr>
          <w:rFonts w:cs="Calibri" w:ascii="Calibri" w:hAnsi="Calibri"/>
          <w:sz w:val="22"/>
          <w:szCs w:val="22"/>
          <w:lang w:val="sq-AL" w:eastAsia="en-US" w:bidi="ar-SA"/>
        </w:rPr>
        <w:t xml:space="preserve">Në fazën e parë të PDV, për nën-njësinë </w:t>
      </w:r>
      <w:r>
        <w:rPr>
          <w:rFonts w:cs="Calibri" w:ascii="Calibri" w:hAnsi="Calibri"/>
          <w:sz w:val="22"/>
          <w:szCs w:val="22"/>
          <w:lang w:val="sq-AL" w:eastAsia="en-US" w:bidi="ar-SA"/>
        </w:rPr>
        <w:t>1</w:t>
      </w:r>
      <w:r>
        <w:rPr>
          <w:rFonts w:cs="Calibri" w:ascii="Calibri" w:hAnsi="Calibri"/>
          <w:sz w:val="22"/>
          <w:szCs w:val="22"/>
          <w:lang w:val="sq-AL" w:eastAsia="en-US" w:bidi="ar-SA"/>
        </w:rPr>
        <w:t xml:space="preserve">  përcaktohen këto kondicione të përgjithshme:</w:t>
      </w:r>
    </w:p>
    <w:p>
      <w:pPr>
        <w:pStyle w:val="Anisarelacioni"/>
        <w:rPr>
          <w:lang w:val="sq-AL" w:eastAsia="en-US" w:bidi="ar-SA"/>
        </w:rPr>
      </w:pPr>
      <w:r>
        <w:rPr>
          <w:rFonts w:cs="Calibri" w:ascii="Calibri" w:hAnsi="Calibri"/>
          <w:sz w:val="22"/>
          <w:szCs w:val="22"/>
          <w:lang w:val="sq-AL" w:eastAsia="en-US" w:bidi="ar-SA"/>
        </w:rPr>
        <w:t>1.</w:t>
        <w:tab/>
        <w:t xml:space="preserve">Propozohen </w:t>
      </w:r>
      <w:r>
        <w:rPr>
          <w:rFonts w:cs="Calibri" w:ascii="Calibri" w:hAnsi="Calibri"/>
          <w:sz w:val="22"/>
          <w:szCs w:val="22"/>
          <w:lang w:val="sq-AL" w:eastAsia="en-US" w:bidi="ar-SA"/>
        </w:rPr>
        <w:t>5599</w:t>
      </w:r>
      <w:r>
        <w:rPr>
          <w:rFonts w:cs="Calibri" w:ascii="Calibri" w:hAnsi="Calibri"/>
          <w:sz w:val="22"/>
          <w:szCs w:val="22"/>
          <w:lang w:val="sq-AL" w:eastAsia="en-US" w:bidi="ar-SA"/>
        </w:rPr>
        <w:t xml:space="preserve">  m² ndërtim i ri për të gjitha përdorimet </w:t>
      </w:r>
    </w:p>
    <w:p>
      <w:pPr>
        <w:pStyle w:val="Anisarelacioni"/>
        <w:rPr>
          <w:lang w:val="sq-AL" w:eastAsia="en-US" w:bidi="ar-SA"/>
        </w:rPr>
      </w:pPr>
      <w:r>
        <w:rPr>
          <w:rFonts w:cs="Calibri" w:ascii="Calibri" w:hAnsi="Calibri"/>
          <w:sz w:val="22"/>
          <w:szCs w:val="22"/>
          <w:lang w:val="sq-AL" w:eastAsia="en-US" w:bidi="ar-SA"/>
        </w:rPr>
        <w:t>2.</w:t>
        <w:tab/>
        <w:t>Intensiteti i ndërtimit është  2.</w:t>
      </w:r>
      <w:r>
        <w:rPr>
          <w:rFonts w:cs="Calibri" w:ascii="Calibri" w:hAnsi="Calibri"/>
          <w:sz w:val="22"/>
          <w:szCs w:val="22"/>
          <w:lang w:val="sq-AL" w:eastAsia="en-US" w:bidi="ar-SA"/>
        </w:rPr>
        <w:t>66</w:t>
      </w:r>
    </w:p>
    <w:p>
      <w:pPr>
        <w:pStyle w:val="Anisarelacioni"/>
        <w:rPr>
          <w:lang w:val="sq-AL" w:eastAsia="en-US" w:bidi="ar-SA"/>
        </w:rPr>
      </w:pPr>
      <w:r>
        <w:rPr>
          <w:rFonts w:cs="Calibri" w:ascii="Calibri" w:hAnsi="Calibri"/>
          <w:sz w:val="22"/>
          <w:szCs w:val="22"/>
          <w:lang w:val="sq-AL" w:eastAsia="en-US" w:bidi="ar-SA"/>
        </w:rPr>
        <w:t>3.</w:t>
        <w:tab/>
        <w:t xml:space="preserve">Kontributi minimal për rrugë është </w:t>
      </w:r>
      <w:r>
        <w:rPr>
          <w:rFonts w:cs="Calibri" w:ascii="Calibri" w:hAnsi="Calibri"/>
          <w:sz w:val="22"/>
          <w:szCs w:val="22"/>
          <w:lang w:val="sq-AL" w:eastAsia="en-US" w:bidi="ar-SA"/>
        </w:rPr>
        <w:t>518</w:t>
      </w:r>
      <w:r>
        <w:rPr>
          <w:rFonts w:cs="Calibri" w:ascii="Calibri" w:hAnsi="Calibri"/>
          <w:sz w:val="22"/>
          <w:szCs w:val="22"/>
          <w:lang w:val="sq-AL" w:eastAsia="en-US" w:bidi="ar-SA"/>
        </w:rPr>
        <w:t xml:space="preserve"> m²</w:t>
      </w:r>
    </w:p>
    <w:p>
      <w:pPr>
        <w:pStyle w:val="Anisarelacioni"/>
        <w:rPr>
          <w:lang w:val="sq-AL" w:eastAsia="en-US" w:bidi="ar-SA"/>
        </w:rPr>
      </w:pPr>
      <w:r>
        <w:rPr>
          <w:rFonts w:cs="Calibri" w:ascii="Calibri" w:hAnsi="Calibri"/>
          <w:sz w:val="22"/>
          <w:szCs w:val="22"/>
          <w:lang w:val="sq-AL" w:eastAsia="en-US" w:bidi="ar-SA"/>
        </w:rPr>
        <w:t>4.</w:t>
        <w:tab/>
        <w:t xml:space="preserve">Kontributi minimal për hapësira publike, të gjelbra dhe rekreative është </w:t>
      </w:r>
      <w:r>
        <w:rPr>
          <w:rFonts w:cs="Calibri" w:ascii="Calibri" w:hAnsi="Calibri"/>
          <w:sz w:val="22"/>
          <w:szCs w:val="22"/>
          <w:lang w:val="sq-AL" w:eastAsia="en-US" w:bidi="ar-SA"/>
        </w:rPr>
        <w:t>169</w:t>
      </w:r>
      <w:r>
        <w:rPr>
          <w:rFonts w:cs="Calibri" w:ascii="Calibri" w:hAnsi="Calibri"/>
          <w:sz w:val="22"/>
          <w:szCs w:val="22"/>
          <w:lang w:val="sq-AL" w:eastAsia="en-US" w:bidi="ar-SA"/>
        </w:rPr>
        <w:t xml:space="preserve"> m²</w:t>
      </w:r>
    </w:p>
    <w:p>
      <w:pPr>
        <w:pStyle w:val="Anisarelacioni"/>
        <w:rPr>
          <w:rFonts w:ascii="Calibri" w:hAnsi="Calibri" w:cs="Calibri"/>
          <w:sz w:val="22"/>
          <w:szCs w:val="22"/>
          <w:lang w:val="sq-AL"/>
        </w:rPr>
      </w:pPr>
      <w:r>
        <w:rPr>
          <w:rFonts w:cs="Calibri" w:ascii="Calibri" w:hAnsi="Calibri"/>
          <w:sz w:val="22"/>
          <w:szCs w:val="22"/>
          <w:lang w:val="sq-AL" w:eastAsia="en-US" w:bidi="ar-SA"/>
        </w:rPr>
        <w:t>5.</w:t>
        <w:tab/>
        <w:t>K.sht është 45 % i pronës që do të futet në menaxhim</w:t>
      </w:r>
    </w:p>
    <w:p>
      <w:pPr>
        <w:pStyle w:val="Anisarelacioni"/>
        <w:rPr>
          <w:rFonts w:ascii="Calibri" w:hAnsi="Calibri" w:cs="Calibri"/>
          <w:sz w:val="22"/>
          <w:szCs w:val="22"/>
          <w:lang w:val="sq-AL"/>
        </w:rPr>
      </w:pPr>
      <w:r>
        <w:rPr>
          <w:rFonts w:cs="Calibri" w:ascii="Calibri" w:hAnsi="Calibri"/>
          <w:sz w:val="22"/>
          <w:szCs w:val="22"/>
          <w:lang w:val="sq-AL" w:eastAsia="en-US" w:bidi="ar-SA"/>
        </w:rPr>
        <w:t>6.</w:t>
        <w:tab/>
        <w:t xml:space="preserve">Lartësia e kateve që parashikohen është 8 kat.   </w:t>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Anisarelacioni"/>
        <w:rPr>
          <w:rFonts w:ascii="Calibri" w:hAnsi="Calibri" w:cs="Calibri"/>
          <w:sz w:val="22"/>
          <w:szCs w:val="22"/>
          <w:lang w:val="sq-AL"/>
        </w:rPr>
      </w:pPr>
      <w:r>
        <w:rPr>
          <w:rFonts w:cs="Calibri" w:ascii="Calibri" w:hAnsi="Calibri"/>
          <w:sz w:val="22"/>
          <w:szCs w:val="22"/>
          <w:lang w:val="sq-AL" w:eastAsia="en-US" w:bidi="ar-SA"/>
        </w:rPr>
        <w:t>Në fazën e dytë përcaktimet që parashikohen janë si më poshtë.</w:t>
      </w:r>
    </w:p>
    <w:p>
      <w:pPr>
        <w:pStyle w:val="Anisarelacioni"/>
        <w:rPr>
          <w:lang w:val="sq-AL" w:eastAsia="en-US" w:bidi="ar-SA"/>
        </w:rPr>
      </w:pPr>
      <w:r>
        <w:rPr>
          <w:rFonts w:cs="Calibri" w:ascii="Calibri" w:hAnsi="Calibri"/>
          <w:sz w:val="22"/>
          <w:szCs w:val="22"/>
          <w:lang w:val="sq-AL" w:eastAsia="en-US" w:bidi="ar-SA"/>
        </w:rPr>
        <w:t>1.</w:t>
        <w:tab/>
        <w:t>Sipërfaqja bruto e nënnjësisë</w:t>
        <w:tab/>
        <w:tab/>
        <w:tab/>
        <w:tab/>
        <w:tab/>
      </w:r>
      <w:r>
        <w:rPr>
          <w:rFonts w:cs="Calibri" w:ascii="Calibri" w:hAnsi="Calibri"/>
          <w:sz w:val="22"/>
          <w:szCs w:val="22"/>
          <w:lang w:val="sq-AL" w:eastAsia="en-US" w:bidi="ar-SA"/>
        </w:rPr>
        <w:t>2107</w:t>
      </w:r>
      <w:r>
        <w:rPr>
          <w:rFonts w:cs="Calibri" w:ascii="Calibri" w:hAnsi="Calibri"/>
          <w:sz w:val="22"/>
          <w:szCs w:val="22"/>
          <w:lang w:val="sq-AL" w:eastAsia="en-US" w:bidi="ar-SA"/>
        </w:rPr>
        <w:t xml:space="preserve"> m²</w:t>
      </w:r>
    </w:p>
    <w:p>
      <w:pPr>
        <w:pStyle w:val="Anisarelacioni"/>
        <w:rPr>
          <w:lang w:val="sq-AL" w:eastAsia="en-US" w:bidi="ar-SA"/>
        </w:rPr>
      </w:pPr>
      <w:r>
        <w:rPr>
          <w:rFonts w:cs="Calibri" w:ascii="Calibri" w:hAnsi="Calibri"/>
          <w:sz w:val="22"/>
          <w:szCs w:val="22"/>
          <w:lang w:val="sq-AL" w:eastAsia="en-US" w:bidi="ar-SA"/>
        </w:rPr>
        <w:t>2.</w:t>
        <w:tab/>
        <w:t xml:space="preserve">Sipërfaqja e nën-njësisë për zhvillim/ pronë shtet       </w:t>
        <w:tab/>
        <w:tab/>
      </w:r>
      <w:r>
        <w:rPr>
          <w:rFonts w:cs="Calibri" w:ascii="Calibri" w:hAnsi="Calibri"/>
          <w:sz w:val="22"/>
          <w:szCs w:val="22"/>
          <w:lang w:val="sq-AL" w:eastAsia="en-US" w:bidi="ar-SA"/>
        </w:rPr>
        <w:t>440</w:t>
      </w:r>
      <w:r>
        <w:rPr>
          <w:rFonts w:cs="Calibri" w:ascii="Calibri" w:hAnsi="Calibri"/>
          <w:sz w:val="22"/>
          <w:szCs w:val="22"/>
          <w:lang w:val="sq-AL" w:eastAsia="en-US" w:bidi="ar-SA"/>
        </w:rPr>
        <w:t xml:space="preserve"> m²</w:t>
      </w:r>
    </w:p>
    <w:p>
      <w:pPr>
        <w:pStyle w:val="Anisarelacioni"/>
        <w:rPr>
          <w:lang w:val="sq-AL" w:eastAsia="en-US" w:bidi="ar-SA"/>
        </w:rPr>
      </w:pPr>
      <w:r>
        <w:rPr>
          <w:rFonts w:cs="Calibri" w:ascii="Calibri" w:hAnsi="Calibri"/>
          <w:sz w:val="22"/>
          <w:szCs w:val="22"/>
          <w:lang w:val="sq-AL" w:eastAsia="en-US" w:bidi="ar-SA"/>
        </w:rPr>
        <w:t>3.</w:t>
        <w:tab/>
        <w:t xml:space="preserve">Sipërfqaja e nën-njësisë për zhvillim/ pronë private    </w:t>
        <w:tab/>
        <w:tab/>
      </w:r>
      <w:r>
        <w:rPr>
          <w:rFonts w:cs="Calibri" w:ascii="Calibri" w:hAnsi="Calibri"/>
          <w:sz w:val="22"/>
          <w:szCs w:val="22"/>
          <w:lang w:val="sq-AL" w:eastAsia="en-US" w:bidi="ar-SA"/>
        </w:rPr>
        <w:t>1667</w:t>
      </w:r>
      <w:r>
        <w:rPr>
          <w:rFonts w:cs="Calibri" w:ascii="Calibri" w:hAnsi="Calibri"/>
          <w:sz w:val="22"/>
          <w:szCs w:val="22"/>
          <w:lang w:val="sq-AL" w:eastAsia="en-US" w:bidi="ar-SA"/>
        </w:rPr>
        <w:t xml:space="preserve"> m²</w:t>
      </w:r>
    </w:p>
    <w:p>
      <w:pPr>
        <w:pStyle w:val="Anisarelacioni"/>
        <w:rPr>
          <w:lang w:val="sq-AL" w:eastAsia="en-US" w:bidi="ar-SA"/>
        </w:rPr>
      </w:pPr>
      <w:r>
        <w:rPr>
          <w:rFonts w:cs="Calibri" w:ascii="Calibri" w:hAnsi="Calibri"/>
          <w:sz w:val="22"/>
          <w:szCs w:val="22"/>
          <w:lang w:val="sq-AL" w:eastAsia="en-US" w:bidi="ar-SA"/>
        </w:rPr>
        <w:t>4.</w:t>
        <w:tab/>
        <w:t xml:space="preserve">Intensiteti i ndërtimit   </w:t>
        <w:tab/>
        <w:tab/>
        <w:tab/>
        <w:tab/>
        <w:tab/>
        <w:tab/>
        <w:t>2.</w:t>
      </w:r>
      <w:r>
        <w:rPr>
          <w:rFonts w:cs="Calibri" w:ascii="Calibri" w:hAnsi="Calibri"/>
          <w:sz w:val="22"/>
          <w:szCs w:val="22"/>
          <w:lang w:val="sq-AL" w:eastAsia="en-US" w:bidi="ar-SA"/>
        </w:rPr>
        <w:t>66</w:t>
      </w:r>
    </w:p>
    <w:p>
      <w:pPr>
        <w:pStyle w:val="Anisarelacioni"/>
        <w:rPr>
          <w:lang w:val="sq-AL"/>
        </w:rPr>
      </w:pPr>
      <w:r>
        <w:rPr>
          <w:rFonts w:cs="Calibri" w:ascii="Calibri" w:hAnsi="Calibri"/>
          <w:sz w:val="22"/>
          <w:szCs w:val="22"/>
          <w:lang w:val="sq-AL" w:eastAsia="en-US" w:bidi="ar-SA"/>
        </w:rPr>
        <w:t>5.</w:t>
        <w:tab/>
        <w:t xml:space="preserve">Sipërfaqja e zënë me ndërtim  </w:t>
        <w:tab/>
        <w:tab/>
        <w:tab/>
        <w:tab/>
        <w:tab/>
      </w:r>
    </w:p>
    <w:p>
      <w:pPr>
        <w:pStyle w:val="Anisarelacioni"/>
        <w:rPr>
          <w:lang w:val="sq-AL" w:eastAsia="en-US" w:bidi="ar-SA"/>
        </w:rPr>
      </w:pPr>
      <w:r>
        <w:rPr>
          <w:rFonts w:cs="Calibri" w:ascii="Calibri" w:hAnsi="Calibri"/>
          <w:sz w:val="22"/>
          <w:szCs w:val="22"/>
          <w:lang w:val="sq-AL" w:eastAsia="en-US" w:bidi="ar-SA"/>
        </w:rPr>
        <w:t>Kati përdhe / gjurma e strukturës</w:t>
        <w:tab/>
        <w:tab/>
        <w:tab/>
        <w:tab/>
        <w:tab/>
      </w:r>
      <w:r>
        <w:rPr>
          <w:rFonts w:cs="Calibri" w:ascii="Calibri" w:hAnsi="Calibri"/>
          <w:sz w:val="22"/>
          <w:szCs w:val="22"/>
          <w:lang w:val="sq-AL" w:eastAsia="en-US" w:bidi="ar-SA"/>
        </w:rPr>
        <w:t>549</w:t>
      </w:r>
      <w:r>
        <w:rPr>
          <w:rFonts w:cs="Calibri" w:ascii="Calibri" w:hAnsi="Calibri"/>
          <w:sz w:val="22"/>
          <w:szCs w:val="22"/>
          <w:lang w:val="sq-AL" w:eastAsia="en-US" w:bidi="ar-SA"/>
        </w:rPr>
        <w:t xml:space="preserve"> m2 (</w:t>
      </w:r>
      <w:r>
        <w:rPr>
          <w:rFonts w:cs="Calibri" w:ascii="Calibri" w:hAnsi="Calibri"/>
          <w:sz w:val="22"/>
          <w:szCs w:val="22"/>
          <w:lang w:val="sq-AL" w:eastAsia="en-US" w:bidi="ar-SA"/>
        </w:rPr>
        <w:t>33</w:t>
      </w:r>
      <w:r>
        <w:rPr>
          <w:rFonts w:cs="Calibri" w:ascii="Calibri" w:hAnsi="Calibri"/>
          <w:sz w:val="22"/>
          <w:szCs w:val="22"/>
          <w:lang w:val="sq-AL" w:eastAsia="en-US" w:bidi="ar-SA"/>
        </w:rPr>
        <w:t>%)</w:t>
      </w:r>
    </w:p>
    <w:p>
      <w:pPr>
        <w:pStyle w:val="Anisarelacioni"/>
        <w:rPr>
          <w:rFonts w:ascii="Calibri" w:hAnsi="Calibri" w:cs="Calibri"/>
          <w:sz w:val="22"/>
          <w:szCs w:val="22"/>
          <w:lang w:val="sq-AL"/>
        </w:rPr>
      </w:pPr>
      <w:r>
        <w:rPr>
          <w:rFonts w:cs="Calibri" w:ascii="Calibri" w:hAnsi="Calibri"/>
          <w:sz w:val="22"/>
          <w:szCs w:val="22"/>
          <w:lang w:val="sq-AL" w:eastAsia="en-US" w:bidi="ar-SA"/>
        </w:rPr>
        <w:t xml:space="preserve">Projeksioni i strukturës </w:t>
        <w:tab/>
        <w:tab/>
        <w:tab/>
        <w:tab/>
        <w:tab/>
        <w:tab/>
        <w:tab/>
        <w:t>maksimalisht 55%</w:t>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Anisarelacioni"/>
        <w:rPr>
          <w:lang w:val="sq-AL" w:eastAsia="en-US" w:bidi="ar-SA"/>
        </w:rPr>
      </w:pPr>
      <w:r>
        <w:rPr>
          <w:rFonts w:cs="Calibri" w:ascii="Calibri" w:hAnsi="Calibri"/>
          <w:sz w:val="22"/>
          <w:szCs w:val="22"/>
          <w:lang w:val="sq-AL" w:eastAsia="en-US" w:bidi="ar-SA"/>
        </w:rPr>
        <w:t xml:space="preserve">Sipërfaqja e ndërtimit </w:t>
        <w:tab/>
        <w:tab/>
        <w:tab/>
        <w:tab/>
        <w:tab/>
        <w:tab/>
        <w:tab/>
      </w:r>
      <w:r>
        <w:rPr>
          <w:rFonts w:cs="Calibri" w:ascii="Calibri" w:hAnsi="Calibri"/>
          <w:sz w:val="22"/>
          <w:szCs w:val="22"/>
          <w:lang w:val="sq-AL" w:eastAsia="en-US" w:bidi="ar-SA"/>
        </w:rPr>
        <w:t>4392</w:t>
      </w:r>
      <w:r>
        <w:rPr>
          <w:rFonts w:cs="Calibri" w:ascii="Calibri" w:hAnsi="Calibri"/>
          <w:sz w:val="22"/>
          <w:szCs w:val="22"/>
          <w:lang w:val="sq-AL" w:eastAsia="en-US" w:bidi="ar-SA"/>
        </w:rPr>
        <w:t xml:space="preserve"> m</w:t>
      </w:r>
      <w:r>
        <w:rPr>
          <w:rFonts w:cs="Calibri" w:ascii="Calibri" w:hAnsi="Calibri"/>
          <w:sz w:val="22"/>
          <w:szCs w:val="22"/>
          <w:vertAlign w:val="superscript"/>
          <w:lang w:val="sq-AL" w:eastAsia="en-US" w:bidi="ar-SA"/>
        </w:rPr>
        <w:t>2</w:t>
      </w:r>
    </w:p>
    <w:p>
      <w:pPr>
        <w:pStyle w:val="Anisarelacioni"/>
        <w:rPr>
          <w:lang w:val="sq-AL" w:eastAsia="en-US" w:bidi="ar-SA"/>
        </w:rPr>
      </w:pPr>
      <w:r>
        <w:rPr>
          <w:rFonts w:cs="Calibri" w:ascii="Calibri" w:hAnsi="Calibri"/>
          <w:sz w:val="22"/>
          <w:szCs w:val="22"/>
          <w:lang w:val="sq-AL" w:eastAsia="en-US" w:bidi="ar-SA"/>
        </w:rPr>
        <w:t>6.</w:t>
        <w:tab/>
        <w:t xml:space="preserve">Sipërfaqja e rrugëve   </w:t>
        <w:tab/>
        <w:tab/>
        <w:tab/>
        <w:tab/>
        <w:tab/>
        <w:tab/>
      </w:r>
      <w:r>
        <w:rPr>
          <w:rFonts w:cs="Calibri" w:ascii="Calibri" w:hAnsi="Calibri"/>
          <w:sz w:val="22"/>
          <w:szCs w:val="22"/>
          <w:lang w:val="sq-AL" w:eastAsia="en-US" w:bidi="ar-SA"/>
        </w:rPr>
        <w:t>518</w:t>
      </w:r>
      <w:r>
        <w:rPr>
          <w:rFonts w:cs="Calibri" w:ascii="Calibri" w:hAnsi="Calibri"/>
          <w:sz w:val="22"/>
          <w:szCs w:val="22"/>
          <w:lang w:val="sq-AL" w:eastAsia="en-US" w:bidi="ar-SA"/>
        </w:rPr>
        <w:t xml:space="preserve"> m²</w:t>
      </w:r>
    </w:p>
    <w:p>
      <w:pPr>
        <w:pStyle w:val="Anisarelacioni"/>
        <w:rPr>
          <w:lang w:val="sq-AL" w:eastAsia="en-US" w:bidi="ar-SA"/>
        </w:rPr>
      </w:pPr>
      <w:r>
        <w:rPr>
          <w:rFonts w:cs="Calibri" w:ascii="Calibri" w:hAnsi="Calibri"/>
          <w:sz w:val="22"/>
          <w:szCs w:val="22"/>
          <w:lang w:val="sq-AL" w:eastAsia="en-US" w:bidi="ar-SA"/>
        </w:rPr>
        <w:t>7.</w:t>
        <w:tab/>
        <w:t xml:space="preserve">Sipërfaqja rekreative                       </w:t>
        <w:tab/>
        <w:tab/>
        <w:tab/>
        <w:tab/>
      </w:r>
      <w:r>
        <w:rPr>
          <w:rFonts w:cs="Calibri" w:ascii="Calibri" w:hAnsi="Calibri"/>
          <w:sz w:val="22"/>
          <w:szCs w:val="22"/>
          <w:lang w:val="sq-AL" w:eastAsia="en-US" w:bidi="ar-SA"/>
        </w:rPr>
        <w:t>169</w:t>
      </w:r>
      <w:r>
        <w:rPr>
          <w:rFonts w:cs="Calibri" w:ascii="Calibri" w:hAnsi="Calibri"/>
          <w:sz w:val="22"/>
          <w:szCs w:val="22"/>
          <w:lang w:val="sq-AL" w:eastAsia="en-US" w:bidi="ar-SA"/>
        </w:rPr>
        <w:t xml:space="preserve"> m²  </w:t>
      </w:r>
    </w:p>
    <w:p>
      <w:pPr>
        <w:pStyle w:val="Anisarelacioni"/>
        <w:rPr>
          <w:lang w:val="sq-AL" w:eastAsia="en-US" w:bidi="ar-SA"/>
        </w:rPr>
      </w:pPr>
      <w:r>
        <w:rPr>
          <w:rFonts w:cs="Calibri" w:ascii="Calibri" w:hAnsi="Calibri"/>
          <w:sz w:val="22"/>
          <w:szCs w:val="22"/>
          <w:lang w:val="sq-AL" w:eastAsia="en-US" w:bidi="ar-SA"/>
        </w:rPr>
        <w:t>8.</w:t>
        <w:tab/>
        <w:t>Sipërfaqja e  shesheve / trotuarëve dhe hapësira kalimi</w:t>
        <w:tab/>
        <w:tab/>
      </w:r>
      <w:r>
        <w:rPr>
          <w:rFonts w:cs="Calibri" w:ascii="Calibri" w:hAnsi="Calibri"/>
          <w:sz w:val="22"/>
          <w:szCs w:val="22"/>
          <w:lang w:val="sq-AL" w:eastAsia="en-US" w:bidi="ar-SA"/>
        </w:rPr>
        <w:t>871</w:t>
      </w:r>
      <w:r>
        <w:rPr>
          <w:rFonts w:cs="Calibri" w:ascii="Calibri" w:hAnsi="Calibri"/>
          <w:sz w:val="22"/>
          <w:szCs w:val="22"/>
          <w:lang w:val="sq-AL" w:eastAsia="en-US" w:bidi="ar-SA"/>
        </w:rPr>
        <w:t xml:space="preserve"> m² </w:t>
      </w:r>
    </w:p>
    <w:p>
      <w:pPr>
        <w:pStyle w:val="Anisarelacioni"/>
        <w:rPr>
          <w:lang w:val="sq-AL"/>
        </w:rPr>
      </w:pPr>
      <w:r>
        <w:rPr>
          <w:rFonts w:cs="Calibri" w:ascii="Calibri" w:hAnsi="Calibri"/>
          <w:sz w:val="22"/>
          <w:szCs w:val="22"/>
          <w:lang w:val="sq-AL" w:eastAsia="en-US" w:bidi="ar-SA"/>
        </w:rPr>
        <w:t>9.</w:t>
        <w:tab/>
        <w:t>Lartësia maksimale e ndërtesave</w:t>
        <w:tab/>
        <w:tab/>
        <w:tab/>
        <w:tab/>
        <w:t>8 kat</w:t>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Anisarelacioni"/>
        <w:rPr>
          <w:rFonts w:ascii="Calibri" w:hAnsi="Calibri" w:cs="Calibri"/>
          <w:sz w:val="22"/>
          <w:szCs w:val="22"/>
          <w:lang w:val="sq-AL"/>
        </w:rPr>
      </w:pPr>
      <w:r>
        <w:rPr>
          <w:rFonts w:cs="Calibri" w:ascii="Calibri" w:hAnsi="Calibri"/>
          <w:sz w:val="22"/>
          <w:szCs w:val="22"/>
          <w:lang w:val="sq-AL" w:eastAsia="en-US" w:bidi="ar-SA"/>
        </w:rPr>
        <w:t xml:space="preserve">Lartësia e propozuar nga PPV për strukturat brenda njësisë është 8 kat. </w:t>
      </w:r>
    </w:p>
    <w:p>
      <w:pPr>
        <w:pStyle w:val="Anisarelacioni"/>
        <w:rPr>
          <w:rFonts w:ascii="Calibri" w:hAnsi="Calibri" w:cs="Calibri"/>
          <w:sz w:val="22"/>
          <w:szCs w:val="22"/>
          <w:lang w:val="sq-AL"/>
        </w:rPr>
      </w:pPr>
      <w:r>
        <w:rPr>
          <w:rFonts w:cs="Calibri" w:ascii="Calibri" w:hAnsi="Calibri"/>
          <w:sz w:val="22"/>
          <w:szCs w:val="22"/>
          <w:lang w:val="sq-AL" w:eastAsia="en-US" w:bidi="ar-SA"/>
        </w:rPr>
        <w:t>Kriteret  në fazën e dytë të kësaj PDV i përgjigjen përcaktimeve të fazës së parë.</w:t>
      </w:r>
    </w:p>
    <w:p>
      <w:pPr>
        <w:pStyle w:val="Anisarelacioni"/>
        <w:rPr>
          <w:rFonts w:ascii="Calibri" w:hAnsi="Calibri" w:cs="Calibri"/>
          <w:sz w:val="22"/>
          <w:szCs w:val="22"/>
          <w:lang w:val="sq-AL"/>
        </w:rPr>
      </w:pPr>
      <w:r>
        <w:rPr>
          <w:rFonts w:cs="Calibri" w:ascii="Calibri" w:hAnsi="Calibri"/>
          <w:sz w:val="22"/>
          <w:szCs w:val="22"/>
          <w:lang w:val="sq-AL" w:eastAsia="en-US" w:bidi="ar-SA"/>
        </w:rPr>
        <w:t>Distancat e ndërhyrjes së propozuar i referohen kontureve të menaxhimit, akseve të sistemit rrugor dhe vijës së ndërtimit të propozuar në fazën e parë të PDV-së, bazuar në përcaktimet e legjislacionit në fushën e planifikimit dhe zhvillimit të territorit në fuqi.</w:t>
      </w:r>
    </w:p>
    <w:p>
      <w:pPr>
        <w:pStyle w:val="Anisarelacioni"/>
        <w:rPr>
          <w:rFonts w:ascii="Calibri" w:hAnsi="Calibri" w:cs="Calibri"/>
          <w:sz w:val="22"/>
          <w:szCs w:val="22"/>
          <w:lang w:val="sq-AL"/>
        </w:rPr>
      </w:pPr>
      <w:r>
        <w:rPr>
          <w:rFonts w:cs="Calibri" w:ascii="Calibri" w:hAnsi="Calibri"/>
          <w:sz w:val="22"/>
          <w:szCs w:val="22"/>
          <w:lang w:val="sq-AL" w:eastAsia="en-US" w:bidi="ar-SA"/>
        </w:rPr>
        <w:t xml:space="preserve">Sa i përket sipërfaqeve të gjelbra dhe rekreative, do të trajtohen me gjelbërim të mesëm dhe të lartë, elemente të mobilimit urban, ndriçim etj. Shpërndarja e treguesve të përcaktuar në fazën e parë të PDV-së realizohet në mënyrë proporcionale ndërmjet pronave për rizhvillim. </w:t>
      </w:r>
    </w:p>
    <w:p>
      <w:pPr>
        <w:pStyle w:val="Anisarelacioni"/>
        <w:rPr>
          <w:rFonts w:ascii="Calibri" w:hAnsi="Calibri" w:cs="Calibri"/>
          <w:sz w:val="22"/>
          <w:szCs w:val="22"/>
          <w:lang w:val="sq-AL"/>
        </w:rPr>
      </w:pPr>
      <w:r>
        <w:rPr>
          <w:rFonts w:cs="Calibri" w:ascii="Calibri" w:hAnsi="Calibri"/>
          <w:sz w:val="22"/>
          <w:szCs w:val="22"/>
          <w:lang w:val="sq-AL" w:eastAsia="en-US" w:bidi="ar-SA"/>
        </w:rPr>
        <w:t>Sistemi rrugor i propozuar detajon sistemit rrugor të propozuar nga faza I e PDV-së, konform përcaktimeve të Planit të Përgjthshëm Vendor të qytetit dhe nevojave të zonës.</w:t>
      </w:r>
    </w:p>
    <w:p>
      <w:pPr>
        <w:pStyle w:val="Anisarelacioni"/>
        <w:rPr>
          <w:rFonts w:ascii="Calibri" w:hAnsi="Calibri" w:cs="Calibri"/>
          <w:sz w:val="22"/>
          <w:szCs w:val="22"/>
          <w:lang w:val="sq-AL"/>
        </w:rPr>
      </w:pPr>
      <w:r>
        <w:rPr>
          <w:rFonts w:cs="Calibri" w:ascii="Calibri" w:hAnsi="Calibri"/>
          <w:sz w:val="22"/>
          <w:szCs w:val="22"/>
          <w:lang w:val="sq-AL" w:eastAsia="en-US" w:bidi="ar-SA"/>
        </w:rPr>
        <w:t>Intensiteti i ndërtimit dhe numri i kateve në këtë studim janë në përputhje me përcaktimet e fazës së I të PDV-së dhe Planit të Përgjthshëm Vendor të qytetit.</w:t>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Heading1"/>
        <w:rPr>
          <w:rFonts w:ascii="Calibri" w:hAnsi="Calibri" w:cs="Calibri"/>
          <w:b/>
          <w:b/>
          <w:color w:val="auto"/>
          <w:sz w:val="22"/>
          <w:szCs w:val="22"/>
        </w:rPr>
      </w:pPr>
      <w:bookmarkStart w:id="19" w:name="__RefHeading___Toc2524_2015891183"/>
      <w:bookmarkStart w:id="20" w:name="_Toc7790037"/>
      <w:bookmarkEnd w:id="19"/>
      <w:r>
        <w:rPr>
          <w:rFonts w:cs="Calibri" w:ascii="Calibri" w:hAnsi="Calibri"/>
          <w:b/>
          <w:color w:val="auto"/>
          <w:sz w:val="22"/>
          <w:szCs w:val="22"/>
          <w:lang w:val="sq-AL" w:eastAsia="en-US" w:bidi="ar-SA"/>
        </w:rPr>
        <w:t>3. Përdorimi i propozuar i tokës</w:t>
      </w:r>
      <w:bookmarkEnd w:id="20"/>
    </w:p>
    <w:p>
      <w:pPr>
        <w:pStyle w:val="Anisarelacioni"/>
        <w:rPr>
          <w:rFonts w:ascii="Calibri" w:hAnsi="Calibri" w:cs="Calibri"/>
          <w:sz w:val="22"/>
          <w:szCs w:val="22"/>
          <w:lang w:val="sq-AL"/>
        </w:rPr>
      </w:pPr>
      <w:r>
        <w:rPr>
          <w:rFonts w:cs="Calibri" w:ascii="Calibri" w:hAnsi="Calibri"/>
          <w:sz w:val="22"/>
          <w:szCs w:val="22"/>
          <w:lang w:val="sq-AL" w:eastAsia="en-US" w:bidi="ar-SA"/>
        </w:rPr>
        <w:t xml:space="preserve">Përdorimi i propozuar i tokës për nen-njesine1 të njësisë strukturore TR/346 është realizuar në përputhje të plotë me propozimin e PDV së fazës së parë. </w:t>
      </w:r>
    </w:p>
    <w:p>
      <w:pPr>
        <w:pStyle w:val="Anisarelacioni"/>
        <w:rPr>
          <w:lang w:val="sq-AL" w:eastAsia="en-US" w:bidi="ar-SA"/>
        </w:rPr>
      </w:pPr>
      <w:r>
        <w:rPr>
          <w:rFonts w:cs="Calibri" w:ascii="Calibri" w:hAnsi="Calibri"/>
          <w:sz w:val="22"/>
          <w:szCs w:val="22"/>
          <w:lang w:val="sq-AL" w:eastAsia="en-US" w:bidi="ar-SA"/>
        </w:rPr>
        <w:t xml:space="preserve">Zona e studiuar parashikon zhvillimin e parcelave/zonave të mundshme për zhvillim  sipas kategorisë së përdorimit banim (A), si dhe krijimin e një  hapësire publike rekreative në funksion të banimit (AR), si nënkategoria shërbime rekreative në funksion të banimit. Gjithashtu kjo nën-njësi strukturore ka përdorim </w:t>
      </w:r>
      <w:r>
        <w:rPr>
          <w:rFonts w:cs="Calibri" w:ascii="Calibri" w:hAnsi="Calibri"/>
          <w:sz w:val="22"/>
          <w:szCs w:val="22"/>
          <w:lang w:val="sq-AL" w:eastAsia="en-US" w:bidi="ar-SA"/>
        </w:rPr>
        <w:t>ekzistues si dhe</w:t>
      </w:r>
      <w:r>
        <w:rPr>
          <w:rFonts w:cs="Calibri" w:ascii="Calibri" w:hAnsi="Calibri"/>
          <w:sz w:val="22"/>
          <w:szCs w:val="22"/>
          <w:lang w:val="sq-AL" w:eastAsia="en-US" w:bidi="ar-SA"/>
        </w:rPr>
        <w:t xml:space="preserve"> të propozuar toke </w:t>
      </w:r>
      <w:r>
        <w:rPr>
          <w:rFonts w:cs="Calibri" w:ascii="Calibri" w:hAnsi="Calibri"/>
          <w:sz w:val="22"/>
          <w:szCs w:val="22"/>
          <w:lang w:val="sq-AL" w:eastAsia="en-US" w:bidi="ar-SA"/>
        </w:rPr>
        <w:t>AS (Arsim), pwr shkak tw parcelws dhe objektin me funksion arsim tw gjimnazit publik “Ismail Qemali”.</w:t>
      </w:r>
    </w:p>
    <w:p>
      <w:pPr>
        <w:pStyle w:val="Anisarelacioni"/>
        <w:rPr>
          <w:rFonts w:ascii="Calibri" w:hAnsi="Calibri" w:eastAsia="Calibri" w:cs="Calibri" w:eastAsiaTheme="minorHAnsi"/>
          <w:sz w:val="22"/>
          <w:szCs w:val="22"/>
        </w:rPr>
      </w:pPr>
      <w:r>
        <w:rPr>
          <w:lang w:val="sq-AL" w:eastAsia="en-US" w:bidi="ar-SA"/>
        </w:rPr>
      </w:r>
    </w:p>
    <w:p>
      <w:pPr>
        <w:pStyle w:val="Anisarelacioni"/>
        <w:rPr>
          <w:lang w:val="sq-AL" w:eastAsia="en-US" w:bidi="ar-SA"/>
        </w:rPr>
      </w:pPr>
      <w:r>
        <w:rPr>
          <w:rFonts w:eastAsia="Calibri" w:cs="Calibri" w:ascii="Calibri" w:hAnsi="Calibri" w:eastAsiaTheme="minorHAnsi"/>
          <w:sz w:val="22"/>
          <w:szCs w:val="22"/>
          <w:lang w:val="sq-AL" w:eastAsia="en-US" w:bidi="ar-SA"/>
        </w:rPr>
        <w:t>Përgjatë rrugëve kryesore, strukturat e reja të propozuara do të mbartin edhe shërbime publike/tregtare/zyra si nënkategori e banimit.</w:t>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drawing>
          <wp:anchor behindDoc="0" distT="0" distB="0" distL="0" distR="0" simplePos="0" locked="0" layoutInCell="1" allowOverlap="1" relativeHeight="5">
            <wp:simplePos x="0" y="0"/>
            <wp:positionH relativeFrom="column">
              <wp:posOffset>4445</wp:posOffset>
            </wp:positionH>
            <wp:positionV relativeFrom="paragraph">
              <wp:posOffset>158750</wp:posOffset>
            </wp:positionV>
            <wp:extent cx="5991860" cy="3937635"/>
            <wp:effectExtent l="0" t="0" r="0" b="0"/>
            <wp:wrapTopAndBottom/>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rcRect l="584" t="6515" r="55041" b="52244"/>
                    <a:stretch>
                      <a:fillRect/>
                    </a:stretch>
                  </pic:blipFill>
                  <pic:spPr bwMode="auto">
                    <a:xfrm>
                      <a:off x="0" y="0"/>
                      <a:ext cx="5991860" cy="3937635"/>
                    </a:xfrm>
                    <a:prstGeom prst="rect">
                      <a:avLst/>
                    </a:prstGeom>
                  </pic:spPr>
                </pic:pic>
              </a:graphicData>
            </a:graphic>
          </wp:anchor>
        </w:drawing>
      </w:r>
    </w:p>
    <w:p>
      <w:pPr>
        <w:pStyle w:val="Caption1"/>
        <w:rPr>
          <w:lang w:val="sq-AL" w:eastAsia="en-US" w:bidi="ar-SA"/>
        </w:rPr>
      </w:pPr>
      <w:bookmarkStart w:id="21" w:name="_Toc7789983"/>
      <w:r>
        <w:rPr>
          <w:b w:val="false"/>
          <w:i/>
          <w:color w:val="auto"/>
          <w:sz w:val="16"/>
          <w:lang w:val="sq-AL" w:eastAsia="en-US" w:bidi="ar-SA"/>
        </w:rPr>
        <w:t xml:space="preserve">Figura </w:t>
      </w:r>
      <w:r>
        <w:rPr>
          <w:b w:val="false"/>
          <w:i/>
          <w:sz w:val="16"/>
          <w:lang w:val="sq-AL" w:eastAsia="en-US" w:bidi="ar-SA"/>
        </w:rPr>
        <w:fldChar w:fldCharType="begin"/>
      </w:r>
      <w:r>
        <w:rPr>
          <w:sz w:val="16"/>
          <w:i/>
          <w:b w:val="false"/>
        </w:rPr>
        <w:instrText> SEQ Figura \* ARABIC </w:instrText>
      </w:r>
      <w:r>
        <w:rPr>
          <w:sz w:val="16"/>
          <w:i/>
          <w:b w:val="false"/>
        </w:rPr>
        <w:fldChar w:fldCharType="separate"/>
      </w:r>
      <w:r>
        <w:rPr>
          <w:sz w:val="16"/>
          <w:i/>
          <w:b w:val="false"/>
        </w:rPr>
        <w:t>3</w:t>
      </w:r>
      <w:r>
        <w:rPr>
          <w:sz w:val="16"/>
          <w:i/>
          <w:b w:val="false"/>
        </w:rPr>
        <w:fldChar w:fldCharType="end"/>
      </w:r>
      <w:r>
        <w:rPr>
          <w:b w:val="false"/>
          <w:i/>
          <w:color w:val="auto"/>
          <w:sz w:val="16"/>
          <w:lang w:val="sq-AL" w:eastAsia="en-US" w:bidi="ar-SA"/>
        </w:rPr>
        <w:t xml:space="preserve">_Harta e përdorimit të propozuar të tokës për njesine Tr/346 në nën-njësinë </w:t>
      </w:r>
      <w:bookmarkEnd w:id="21"/>
      <w:r>
        <w:rPr>
          <w:b w:val="false"/>
          <w:i/>
          <w:color w:val="auto"/>
          <w:sz w:val="16"/>
          <w:lang w:val="sq-AL" w:eastAsia="en-US" w:bidi="ar-SA"/>
        </w:rPr>
        <w:t>1</w:t>
      </w:r>
    </w:p>
    <w:p>
      <w:pPr>
        <w:pStyle w:val="Heading1"/>
        <w:rPr>
          <w:lang w:val="sq-AL"/>
        </w:rPr>
      </w:pPr>
      <w:bookmarkStart w:id="22" w:name="__RefHeading___Toc2526_2015891183"/>
      <w:bookmarkStart w:id="23" w:name="_Toc7790038"/>
      <w:bookmarkEnd w:id="22"/>
      <w:r>
        <w:rPr>
          <w:rFonts w:cs="Calibri" w:ascii="Calibri" w:hAnsi="Calibri"/>
          <w:b/>
          <w:color w:val="auto"/>
          <w:sz w:val="22"/>
          <w:szCs w:val="22"/>
          <w:lang w:val="sq-AL" w:eastAsia="en-US" w:bidi="ar-SA"/>
        </w:rPr>
        <w:t>4. Pronësia mbi truallin</w:t>
      </w:r>
      <w:bookmarkEnd w:id="23"/>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Anisarelacioni"/>
        <w:rPr>
          <w:lang w:val="sq-AL" w:eastAsia="en-US" w:bidi="ar-SA"/>
        </w:rPr>
      </w:pPr>
      <w:r>
        <w:rPr>
          <w:rFonts w:cs="Calibri" w:ascii="Calibri" w:hAnsi="Calibri"/>
          <w:sz w:val="22"/>
          <w:szCs w:val="22"/>
          <w:lang w:val="sq-AL" w:eastAsia="en-US" w:bidi="ar-SA"/>
        </w:rPr>
        <w:t xml:space="preserve">Pronat e manaxhuara për zhvillimin e nën-njëisë </w:t>
      </w:r>
      <w:r>
        <w:rPr>
          <w:rFonts w:cs="Calibri" w:ascii="Calibri" w:hAnsi="Calibri"/>
          <w:sz w:val="22"/>
          <w:szCs w:val="22"/>
          <w:lang w:val="sq-AL" w:eastAsia="en-US" w:bidi="ar-SA"/>
        </w:rPr>
        <w:t>1</w:t>
      </w:r>
      <w:r>
        <w:rPr>
          <w:rFonts w:cs="Calibri" w:ascii="Calibri" w:hAnsi="Calibri"/>
          <w:sz w:val="22"/>
          <w:szCs w:val="22"/>
          <w:lang w:val="sq-AL" w:eastAsia="en-US" w:bidi="ar-SA"/>
        </w:rPr>
        <w:t xml:space="preserve"> të njësisë strukturore subjket PDV-je kanë të gjtha status privat dhe shtet.</w:t>
      </w:r>
    </w:p>
    <w:p>
      <w:pPr>
        <w:pStyle w:val="Caption1"/>
        <w:rPr>
          <w:lang w:val="sq-AL" w:eastAsia="en-US" w:bidi="ar-SA"/>
        </w:rPr>
      </w:pPr>
      <w:bookmarkStart w:id="24" w:name="_Toc7789984"/>
      <w:r>
        <w:drawing>
          <wp:anchor behindDoc="0" distT="0" distB="0" distL="0" distR="0" simplePos="0" locked="0" layoutInCell="1" allowOverlap="1" relativeHeight="6">
            <wp:simplePos x="0" y="0"/>
            <wp:positionH relativeFrom="column">
              <wp:posOffset>33655</wp:posOffset>
            </wp:positionH>
            <wp:positionV relativeFrom="paragraph">
              <wp:posOffset>81915</wp:posOffset>
            </wp:positionV>
            <wp:extent cx="5334635" cy="3285490"/>
            <wp:effectExtent l="0" t="0" r="0" b="0"/>
            <wp:wrapTopAndBottom/>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6"/>
                    <a:srcRect l="1230" t="8164" r="851" b="6501"/>
                    <a:stretch>
                      <a:fillRect/>
                    </a:stretch>
                  </pic:blipFill>
                  <pic:spPr bwMode="auto">
                    <a:xfrm>
                      <a:off x="0" y="0"/>
                      <a:ext cx="5334635" cy="3285490"/>
                    </a:xfrm>
                    <a:prstGeom prst="rect">
                      <a:avLst/>
                    </a:prstGeom>
                  </pic:spPr>
                </pic:pic>
              </a:graphicData>
            </a:graphic>
          </wp:anchor>
        </w:drawing>
      </w:r>
      <w:r>
        <w:rPr>
          <w:b w:val="false"/>
          <w:i/>
          <w:color w:val="auto"/>
          <w:sz w:val="16"/>
          <w:lang w:val="sq-AL" w:eastAsia="en-US" w:bidi="ar-SA"/>
        </w:rPr>
        <w:t xml:space="preserve">Figura </w:t>
      </w:r>
      <w:r>
        <w:rPr>
          <w:b w:val="false"/>
          <w:i/>
          <w:sz w:val="16"/>
          <w:lang w:val="sq-AL" w:eastAsia="en-US" w:bidi="ar-SA"/>
        </w:rPr>
        <w:fldChar w:fldCharType="begin"/>
      </w:r>
      <w:r>
        <w:rPr>
          <w:sz w:val="16"/>
          <w:i/>
          <w:b w:val="false"/>
        </w:rPr>
        <w:instrText> SEQ Figura \* ARABIC </w:instrText>
      </w:r>
      <w:r>
        <w:rPr>
          <w:sz w:val="16"/>
          <w:i/>
          <w:b w:val="false"/>
        </w:rPr>
        <w:fldChar w:fldCharType="separate"/>
      </w:r>
      <w:r>
        <w:rPr>
          <w:sz w:val="16"/>
          <w:i/>
          <w:b w:val="false"/>
        </w:rPr>
        <w:t>4</w:t>
      </w:r>
      <w:r>
        <w:rPr>
          <w:sz w:val="16"/>
          <w:i/>
          <w:b w:val="false"/>
        </w:rPr>
        <w:fldChar w:fldCharType="end"/>
      </w:r>
      <w:r>
        <w:rPr>
          <w:b w:val="false"/>
          <w:i/>
          <w:color w:val="auto"/>
          <w:sz w:val="16"/>
          <w:lang w:val="sq-AL" w:eastAsia="en-US" w:bidi="ar-SA"/>
        </w:rPr>
        <w:t xml:space="preserve">_Harta e pronësisë mbi truallin për njesine strukturore Tr/346 në nën-njësinë </w:t>
      </w:r>
      <w:bookmarkEnd w:id="24"/>
      <w:r>
        <w:rPr>
          <w:b w:val="false"/>
          <w:i/>
          <w:color w:val="auto"/>
          <w:sz w:val="16"/>
          <w:lang w:val="sq-AL" w:eastAsia="en-US" w:bidi="ar-SA"/>
        </w:rPr>
        <w:t>1</w:t>
      </w:r>
    </w:p>
    <w:p>
      <w:pPr>
        <w:pStyle w:val="Heading1"/>
        <w:rPr>
          <w:rFonts w:ascii="Calibri" w:hAnsi="Calibri" w:cs="Calibri"/>
          <w:b/>
          <w:b/>
          <w:color w:val="auto"/>
          <w:sz w:val="22"/>
          <w:szCs w:val="22"/>
        </w:rPr>
      </w:pPr>
      <w:bookmarkStart w:id="25" w:name="__RefHeading___Toc2528_2015891183"/>
      <w:bookmarkStart w:id="26" w:name="_Toc7790039"/>
      <w:bookmarkEnd w:id="25"/>
      <w:r>
        <w:rPr>
          <w:rFonts w:cs="Calibri" w:ascii="Calibri" w:hAnsi="Calibri"/>
          <w:b/>
          <w:color w:val="auto"/>
          <w:sz w:val="22"/>
          <w:szCs w:val="22"/>
          <w:lang w:val="sq-AL" w:eastAsia="en-US" w:bidi="ar-SA"/>
        </w:rPr>
        <w:t>5. Planimetria e përgjitshme e studimit</w:t>
      </w:r>
      <w:bookmarkEnd w:id="26"/>
    </w:p>
    <w:p>
      <w:pPr>
        <w:pStyle w:val="Normal"/>
        <w:spacing w:before="0" w:after="0"/>
        <w:jc w:val="both"/>
        <w:rPr>
          <w:rFonts w:cs="Calibri"/>
          <w:sz w:val="22"/>
          <w:szCs w:val="22"/>
          <w:lang w:val="sq-AL" w:eastAsia="en-US" w:bidi="ar-SA"/>
        </w:rPr>
      </w:pPr>
      <w:r>
        <w:rPr>
          <w:rFonts w:cs="Calibri"/>
          <w:sz w:val="22"/>
          <w:szCs w:val="22"/>
          <w:lang w:val="sq-AL" w:eastAsia="en-US" w:bidi="ar-SA"/>
        </w:rPr>
      </w:r>
    </w:p>
    <w:p>
      <w:pPr>
        <w:pStyle w:val="Normal"/>
        <w:spacing w:before="0" w:after="0"/>
        <w:jc w:val="both"/>
        <w:rPr>
          <w:rFonts w:cs="Calibri"/>
          <w:bCs/>
        </w:rPr>
      </w:pPr>
      <w:r>
        <w:rPr>
          <w:rFonts w:cs="Calibri"/>
          <w:sz w:val="22"/>
          <w:szCs w:val="22"/>
          <w:lang w:val="sq-AL" w:eastAsia="en-US" w:bidi="ar-SA"/>
        </w:rPr>
        <w:t xml:space="preserve">Lartësia e propozuar nga Plani i Përgjithshëm Vendor (PPV) TR030 për strukturat brenda zonës së studiuar është 8 kate. </w:t>
      </w:r>
      <w:r>
        <w:rPr>
          <w:rFonts w:cs="Calibri"/>
          <w:bCs/>
          <w:sz w:val="22"/>
          <w:szCs w:val="22"/>
          <w:lang w:val="sq-AL" w:eastAsia="en-US" w:bidi="ar-SA"/>
        </w:rPr>
        <w:t xml:space="preserve"> </w:t>
      </w:r>
    </w:p>
    <w:p>
      <w:pPr>
        <w:pStyle w:val="Normal"/>
        <w:spacing w:before="0" w:after="0"/>
        <w:jc w:val="both"/>
        <w:rPr>
          <w:rFonts w:cs="Calibri"/>
        </w:rPr>
      </w:pPr>
      <w:r>
        <w:rPr>
          <w:rFonts w:cs="Calibri"/>
          <w:sz w:val="22"/>
          <w:szCs w:val="22"/>
          <w:lang w:val="sq-AL" w:eastAsia="en-US" w:bidi="ar-SA"/>
        </w:rPr>
        <w:t>Përzgjedhja e lartësisë së shprehur në metra apo numër katesh për zhvillimet e reja në këto zona është bërë duke respektuar:</w:t>
      </w:r>
    </w:p>
    <w:p>
      <w:pPr>
        <w:pStyle w:val="Normal"/>
        <w:spacing w:before="0" w:after="0"/>
        <w:jc w:val="both"/>
        <w:rPr>
          <w:rFonts w:cs="Calibri"/>
          <w:b/>
          <w:b/>
          <w:bCs/>
          <w:sz w:val="22"/>
          <w:szCs w:val="22"/>
          <w:lang w:val="sq-AL" w:eastAsia="en-US" w:bidi="ar-SA"/>
        </w:rPr>
      </w:pPr>
      <w:r>
        <w:rPr>
          <w:rFonts w:cs="Calibri"/>
          <w:b/>
          <w:bCs/>
          <w:sz w:val="22"/>
          <w:szCs w:val="22"/>
          <w:lang w:val="sq-AL" w:eastAsia="en-US" w:bidi="ar-SA"/>
        </w:rPr>
      </w:r>
    </w:p>
    <w:p>
      <w:pPr>
        <w:pStyle w:val="NoSpacing"/>
        <w:numPr>
          <w:ilvl w:val="0"/>
          <w:numId w:val="1"/>
        </w:numPr>
        <w:spacing w:lineRule="auto" w:line="276"/>
        <w:jc w:val="both"/>
        <w:rPr>
          <w:rFonts w:ascii="Calibri" w:hAnsi="Calibri" w:cs="Calibri"/>
          <w:lang w:val="sq-AL"/>
        </w:rPr>
      </w:pPr>
      <w:r>
        <w:rPr>
          <w:rFonts w:cs="Calibri"/>
          <w:sz w:val="22"/>
          <w:szCs w:val="22"/>
          <w:lang w:val="sq-AL" w:eastAsia="en-US" w:bidi="ar-SA"/>
        </w:rPr>
        <w:t>Lartësitë e strukturave ekzistuese përreth strukturës së re</w:t>
      </w:r>
    </w:p>
    <w:p>
      <w:pPr>
        <w:pStyle w:val="NoSpacing"/>
        <w:numPr>
          <w:ilvl w:val="0"/>
          <w:numId w:val="1"/>
        </w:numPr>
        <w:spacing w:lineRule="auto" w:line="276"/>
        <w:jc w:val="both"/>
        <w:rPr>
          <w:rFonts w:ascii="Calibri" w:hAnsi="Calibri" w:cs="Calibri"/>
          <w:lang w:val="sq-AL"/>
        </w:rPr>
      </w:pPr>
      <w:r>
        <w:rPr>
          <w:rFonts w:cs="Calibri"/>
          <w:sz w:val="22"/>
          <w:szCs w:val="22"/>
          <w:lang w:val="sq-AL" w:eastAsia="en-US" w:bidi="ar-SA"/>
        </w:rPr>
        <w:t>Normat e lejuara të distancave</w:t>
      </w:r>
    </w:p>
    <w:p>
      <w:pPr>
        <w:pStyle w:val="NoSpacing"/>
        <w:numPr>
          <w:ilvl w:val="0"/>
          <w:numId w:val="1"/>
        </w:numPr>
        <w:spacing w:lineRule="auto" w:line="276"/>
        <w:jc w:val="both"/>
        <w:rPr>
          <w:rFonts w:ascii="Calibri" w:hAnsi="Calibri" w:cs="Calibri"/>
          <w:lang w:val="sq-AL"/>
        </w:rPr>
      </w:pPr>
      <w:r>
        <w:rPr>
          <w:rFonts w:cs="Calibri"/>
          <w:sz w:val="22"/>
          <w:szCs w:val="22"/>
          <w:lang w:val="sq-AL" w:eastAsia="en-US" w:bidi="ar-SA"/>
        </w:rPr>
        <w:t>Diellëzimin dhe orientimin</w:t>
      </w:r>
    </w:p>
    <w:p>
      <w:pPr>
        <w:pStyle w:val="NoSpacing"/>
        <w:numPr>
          <w:ilvl w:val="0"/>
          <w:numId w:val="1"/>
        </w:numPr>
        <w:spacing w:lineRule="auto" w:line="276"/>
        <w:jc w:val="both"/>
        <w:rPr>
          <w:rFonts w:ascii="Calibri" w:hAnsi="Calibri" w:cs="Calibri"/>
          <w:lang w:val="sq-AL"/>
        </w:rPr>
      </w:pPr>
      <w:r>
        <w:rPr>
          <w:rFonts w:cs="Calibri"/>
          <w:sz w:val="22"/>
          <w:szCs w:val="22"/>
          <w:lang w:val="sq-AL" w:eastAsia="en-US" w:bidi="ar-SA"/>
        </w:rPr>
        <w:t>Respektimin e normave mjedisore</w:t>
      </w:r>
    </w:p>
    <w:p>
      <w:pPr>
        <w:pStyle w:val="NoSpacing"/>
        <w:spacing w:lineRule="auto" w:line="276"/>
        <w:ind w:left="720" w:hanging="0"/>
        <w:jc w:val="both"/>
        <w:rPr>
          <w:rFonts w:ascii="Calibri" w:hAnsi="Calibri" w:cs="Calibri"/>
          <w:sz w:val="22"/>
          <w:szCs w:val="22"/>
          <w:lang w:val="sq-AL" w:eastAsia="en-US" w:bidi="ar-SA"/>
        </w:rPr>
      </w:pPr>
      <w:r>
        <w:rPr>
          <w:rFonts w:cs="Calibri"/>
          <w:sz w:val="22"/>
          <w:szCs w:val="22"/>
          <w:lang w:val="sq-AL" w:eastAsia="en-US" w:bidi="ar-SA"/>
        </w:rPr>
      </w:r>
    </w:p>
    <w:p>
      <w:pPr>
        <w:pStyle w:val="Anisarelacioni"/>
        <w:rPr>
          <w:sz w:val="22"/>
          <w:szCs w:val="22"/>
          <w:lang w:val="sq-AL" w:eastAsia="en-US" w:bidi="ar-SA"/>
        </w:rPr>
      </w:pPr>
      <w:r>
        <w:rPr>
          <w:rFonts w:cs="Calibri" w:ascii="Calibri" w:hAnsi="Calibri"/>
          <w:sz w:val="22"/>
          <w:szCs w:val="22"/>
          <w:lang w:val="sq-AL" w:eastAsia="en-US" w:bidi="ar-SA"/>
        </w:rPr>
        <w:t>Përcaktimit i distancave midis strukturave ekzistuese dhe atyre të reja, të propozuara në këtë fazë, është bazuar në VKM 408 dt. 13/05/2015 (i ndryshuar</w:t>
      </w:r>
      <w:r>
        <w:rPr>
          <w:rFonts w:cs="Calibri" w:ascii="Calibri" w:hAnsi="Calibri"/>
          <w:i/>
          <w:sz w:val="22"/>
          <w:szCs w:val="22"/>
          <w:lang w:val="sq-AL" w:eastAsia="en-US" w:bidi="ar-SA"/>
        </w:rPr>
        <w:t>) “Për Miratimin e Rregullores së Zhvillimit të Territorit”.</w:t>
      </w:r>
      <w:r>
        <w:rPr>
          <w:rFonts w:cs="Calibri" w:ascii="Calibri" w:hAnsi="Calibri"/>
          <w:sz w:val="22"/>
          <w:szCs w:val="22"/>
          <w:lang w:val="sq-AL" w:eastAsia="en-US" w:bidi="ar-SA"/>
        </w:rPr>
        <w:t>Të gjitha zhvillimet e reja i janë përmbajtur tipologjive ekzistuese të zonave përreth, përkatësisht ndërtesa multifamiljare lineare dhe format hibride.</w:t>
      </w:r>
    </w:p>
    <w:p>
      <w:pPr>
        <w:pStyle w:val="Anisarelacioni"/>
        <w:rPr>
          <w:rFonts w:ascii="Calibri" w:hAnsi="Calibri" w:cs="Calibri"/>
          <w:lang w:val="sq-AL"/>
        </w:rPr>
      </w:pPr>
      <w:r>
        <w:rPr>
          <w:sz w:val="22"/>
          <w:szCs w:val="22"/>
          <w:lang w:val="sq-AL" w:eastAsia="en-US" w:bidi="ar-SA"/>
        </w:rPr>
        <w:drawing>
          <wp:anchor behindDoc="0" distT="0" distB="0" distL="0" distR="0" simplePos="0" locked="0" layoutInCell="1" allowOverlap="1" relativeHeight="7">
            <wp:simplePos x="0" y="0"/>
            <wp:positionH relativeFrom="column">
              <wp:posOffset>13970</wp:posOffset>
            </wp:positionH>
            <wp:positionV relativeFrom="paragraph">
              <wp:posOffset>162560</wp:posOffset>
            </wp:positionV>
            <wp:extent cx="5725160" cy="4283075"/>
            <wp:effectExtent l="0" t="0" r="0" b="0"/>
            <wp:wrapTopAndBottom/>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7"/>
                    <a:srcRect l="442" t="50897" r="55294" b="2275"/>
                    <a:stretch>
                      <a:fillRect/>
                    </a:stretch>
                  </pic:blipFill>
                  <pic:spPr bwMode="auto">
                    <a:xfrm>
                      <a:off x="0" y="0"/>
                      <a:ext cx="5725160" cy="4283075"/>
                    </a:xfrm>
                    <a:prstGeom prst="rect">
                      <a:avLst/>
                    </a:prstGeom>
                  </pic:spPr>
                </pic:pic>
              </a:graphicData>
            </a:graphic>
          </wp:anchor>
        </w:drawing>
      </w:r>
    </w:p>
    <w:p>
      <w:pPr>
        <w:pStyle w:val="Caption1"/>
        <w:rPr>
          <w:lang w:val="sq-AL" w:eastAsia="en-US" w:bidi="ar-SA"/>
        </w:rPr>
      </w:pPr>
      <w:bookmarkStart w:id="27" w:name="_Toc7789985"/>
      <w:r>
        <w:rPr>
          <w:b w:val="false"/>
          <w:i/>
          <w:color w:val="auto"/>
          <w:sz w:val="16"/>
          <w:lang w:val="sq-AL" w:eastAsia="en-US" w:bidi="ar-SA"/>
        </w:rPr>
        <w:t xml:space="preserve">Figura </w:t>
      </w:r>
      <w:r>
        <w:rPr>
          <w:b w:val="false"/>
          <w:i/>
          <w:sz w:val="16"/>
          <w:lang w:val="sq-AL" w:eastAsia="en-US" w:bidi="ar-SA"/>
        </w:rPr>
        <w:fldChar w:fldCharType="begin"/>
      </w:r>
      <w:r>
        <w:rPr>
          <w:sz w:val="16"/>
          <w:i/>
          <w:b w:val="false"/>
        </w:rPr>
        <w:instrText> SEQ Figura \* ARABIC </w:instrText>
      </w:r>
      <w:r>
        <w:rPr>
          <w:sz w:val="16"/>
          <w:i/>
          <w:b w:val="false"/>
        </w:rPr>
        <w:fldChar w:fldCharType="separate"/>
      </w:r>
      <w:r>
        <w:rPr>
          <w:sz w:val="16"/>
          <w:i/>
          <w:b w:val="false"/>
        </w:rPr>
        <w:t>5</w:t>
      </w:r>
      <w:r>
        <w:rPr>
          <w:sz w:val="16"/>
          <w:i/>
          <w:b w:val="false"/>
        </w:rPr>
        <w:fldChar w:fldCharType="end"/>
      </w:r>
      <w:r>
        <w:rPr>
          <w:b w:val="false"/>
          <w:i/>
          <w:color w:val="auto"/>
          <w:sz w:val="16"/>
          <w:lang w:val="sq-AL" w:eastAsia="en-US" w:bidi="ar-SA"/>
        </w:rPr>
        <w:t xml:space="preserve">_Planimetria e përgjithshme e studimit për njesine strukturore Tr/346 në nën-njësinë </w:t>
      </w:r>
      <w:bookmarkEnd w:id="27"/>
      <w:r>
        <w:rPr>
          <w:b w:val="false"/>
          <w:i/>
          <w:color w:val="auto"/>
          <w:sz w:val="16"/>
          <w:lang w:val="sq-AL" w:eastAsia="en-US" w:bidi="ar-SA"/>
        </w:rPr>
        <w:t>1</w:t>
      </w:r>
    </w:p>
    <w:p>
      <w:pPr>
        <w:pStyle w:val="Anisarelacioni"/>
        <w:rPr>
          <w:rFonts w:ascii="Calibri" w:hAnsi="Calibri" w:eastAsia="" w:cs="Calibri" w:eastAsiaTheme="minorEastAsia"/>
          <w:sz w:val="22"/>
          <w:szCs w:val="22"/>
          <w:lang w:val="sq-AL" w:eastAsia="en-US" w:bidi="ar-SA"/>
        </w:rPr>
      </w:pPr>
      <w:r>
        <w:rPr>
          <w:rFonts w:eastAsia="" w:cs="Calibri" w:eastAsiaTheme="minorEastAsia" w:ascii="Calibri" w:hAnsi="Calibri"/>
          <w:sz w:val="22"/>
          <w:szCs w:val="22"/>
          <w:lang w:val="sq-AL" w:eastAsia="en-US" w:bidi="ar-SA"/>
        </w:rPr>
      </w:r>
    </w:p>
    <w:p>
      <w:pPr>
        <w:pStyle w:val="Anisarelacioni"/>
        <w:rPr>
          <w:rFonts w:ascii="Calibri" w:hAnsi="Calibri" w:eastAsia="" w:cs="Calibri" w:eastAsiaTheme="minorEastAsia"/>
          <w:sz w:val="22"/>
          <w:szCs w:val="22"/>
          <w:lang w:val="sq-AL" w:eastAsia="en-US" w:bidi="ar-SA"/>
        </w:rPr>
      </w:pPr>
      <w:r>
        <w:rPr>
          <w:rFonts w:eastAsia="Times New Roman" w:cs="Calibri" w:ascii="Calibri" w:hAnsi="Calibri"/>
          <w:sz w:val="22"/>
          <w:szCs w:val="22"/>
          <w:lang w:val="sq-AL" w:eastAsia="en-US" w:bidi="ar-SA"/>
        </w:rPr>
        <w:t xml:space="preserve">Zhvillimi i ri  për këtë zonë </w:t>
      </w:r>
      <w:r>
        <w:rPr>
          <w:rFonts w:eastAsia="" w:cs="Calibri" w:eastAsiaTheme="minorEastAsia" w:ascii="Calibri" w:hAnsi="Calibri"/>
          <w:sz w:val="22"/>
          <w:szCs w:val="22"/>
          <w:lang w:val="sq-AL" w:eastAsia="en-US" w:bidi="ar-SA"/>
        </w:rPr>
        <w:t>ë</w:t>
      </w:r>
      <w:r>
        <w:rPr>
          <w:rFonts w:eastAsia="Times New Roman" w:cs="Calibri" w:ascii="Calibri" w:hAnsi="Calibri"/>
          <w:sz w:val="22"/>
          <w:szCs w:val="22"/>
          <w:lang w:val="sq-AL" w:eastAsia="en-US" w:bidi="ar-SA"/>
        </w:rPr>
        <w:t>sht</w:t>
      </w:r>
      <w:r>
        <w:rPr>
          <w:rFonts w:eastAsia="" w:cs="Calibri" w:eastAsiaTheme="minorEastAsia" w:ascii="Calibri" w:hAnsi="Calibri"/>
          <w:sz w:val="22"/>
          <w:szCs w:val="22"/>
          <w:lang w:val="sq-AL" w:eastAsia="en-US" w:bidi="ar-SA"/>
        </w:rPr>
        <w:t>ë</w:t>
      </w:r>
      <w:r>
        <w:rPr>
          <w:rFonts w:eastAsia="Times New Roman" w:cs="Calibri" w:ascii="Calibri" w:hAnsi="Calibri"/>
          <w:sz w:val="22"/>
          <w:szCs w:val="22"/>
          <w:lang w:val="sq-AL" w:eastAsia="en-US" w:bidi="ar-SA"/>
        </w:rPr>
        <w:t xml:space="preserve"> objekti i ri me lartësi 8 kat, i cili për nga tipologjia hapsinore është një strukture e lart</w:t>
      </w:r>
      <w:r>
        <w:rPr>
          <w:rFonts w:eastAsia="" w:cs="Calibri" w:eastAsiaTheme="minorEastAsia" w:ascii="Calibri" w:hAnsi="Calibri"/>
          <w:sz w:val="22"/>
          <w:szCs w:val="22"/>
          <w:lang w:val="sq-AL" w:eastAsia="en-US" w:bidi="ar-SA"/>
        </w:rPr>
        <w:t>ë</w:t>
      </w:r>
      <w:r>
        <w:rPr>
          <w:rFonts w:eastAsia="Times New Roman" w:cs="Calibri" w:ascii="Calibri" w:hAnsi="Calibri"/>
          <w:sz w:val="22"/>
          <w:szCs w:val="22"/>
          <w:lang w:val="sq-AL" w:eastAsia="en-US" w:bidi="ar-SA"/>
        </w:rPr>
        <w:t xml:space="preserve"> multifamiljare lineare. </w:t>
      </w:r>
    </w:p>
    <w:p>
      <w:pPr>
        <w:pStyle w:val="Anisarelacioni"/>
        <w:rPr>
          <w:rFonts w:ascii="Calibri" w:hAnsi="Calibri"/>
          <w:sz w:val="22"/>
          <w:szCs w:val="22"/>
          <w:lang w:val="sq-AL" w:eastAsia="en-US" w:bidi="ar-SA"/>
        </w:rPr>
      </w:pPr>
      <w:r>
        <w:rPr>
          <w:rFonts w:ascii="Calibri" w:hAnsi="Calibri"/>
          <w:sz w:val="22"/>
          <w:szCs w:val="22"/>
          <w:lang w:val="sq-AL" w:eastAsia="en-US" w:bidi="ar-SA"/>
        </w:rPr>
        <w:t xml:space="preserve">Objekti i propozuar, </w:t>
      </w:r>
      <w:r>
        <w:rPr>
          <w:rFonts w:eastAsia="" w:cs="" w:ascii="Calibri" w:hAnsi="Calibri" w:cstheme="minorBidi" w:eastAsiaTheme="minorEastAsia"/>
          <w:sz w:val="22"/>
          <w:szCs w:val="22"/>
          <w:lang w:val="sq-AL" w:eastAsia="en-US" w:bidi="ar-SA"/>
        </w:rPr>
        <w:t>me gjerësi 16-17m,</w:t>
      </w:r>
      <w:r>
        <w:rPr>
          <w:rFonts w:ascii="Calibri" w:hAnsi="Calibri"/>
          <w:sz w:val="22"/>
          <w:szCs w:val="22"/>
          <w:lang w:val="sq-AL" w:eastAsia="en-US" w:bidi="ar-SA"/>
        </w:rPr>
        <w:t xml:space="preserve"> n</w:t>
      </w:r>
      <w:r>
        <w:rPr>
          <w:rFonts w:eastAsia="" w:cs="" w:ascii="Calibri" w:hAnsi="Calibri" w:cstheme="minorBidi" w:eastAsiaTheme="minorEastAsia"/>
          <w:sz w:val="22"/>
          <w:szCs w:val="22"/>
          <w:lang w:val="sq-AL" w:eastAsia="en-US" w:bidi="ar-SA"/>
        </w:rPr>
        <w:t>ë</w:t>
      </w:r>
      <w:r>
        <w:rPr>
          <w:rFonts w:ascii="Calibri" w:hAnsi="Calibri"/>
          <w:sz w:val="22"/>
          <w:szCs w:val="22"/>
          <w:lang w:val="sq-AL" w:eastAsia="en-US" w:bidi="ar-SA"/>
        </w:rPr>
        <w:t xml:space="preserve"> zon</w:t>
      </w:r>
      <w:r>
        <w:rPr>
          <w:rFonts w:eastAsia="" w:cs="" w:ascii="Calibri" w:hAnsi="Calibri" w:cstheme="minorBidi" w:eastAsiaTheme="minorEastAsia"/>
          <w:sz w:val="22"/>
          <w:szCs w:val="22"/>
          <w:lang w:val="sq-AL" w:eastAsia="en-US" w:bidi="ar-SA"/>
        </w:rPr>
        <w:t>ë</w:t>
      </w:r>
      <w:r>
        <w:rPr>
          <w:rFonts w:ascii="Calibri" w:hAnsi="Calibri"/>
          <w:sz w:val="22"/>
          <w:szCs w:val="22"/>
          <w:lang w:val="sq-AL" w:eastAsia="en-US" w:bidi="ar-SA"/>
        </w:rPr>
        <w:t>n A1</w:t>
      </w:r>
      <w:r>
        <w:rPr>
          <w:rFonts w:eastAsia="" w:cs="" w:ascii="Calibri" w:hAnsi="Calibri" w:cstheme="minorBidi" w:eastAsiaTheme="minorEastAsia"/>
          <w:sz w:val="22"/>
          <w:szCs w:val="22"/>
          <w:lang w:val="sq-AL" w:eastAsia="en-US" w:bidi="ar-SA"/>
        </w:rPr>
        <w:t xml:space="preserve"> respekton kondicionet urbane dhe kufinjtë e pronësisë. Gjendja ekzituese e pronësise e përdorur për fazën e dytë të pdv-së të kësaj nënzone  është përditësuar në lidhje me gjendjen e përdorur në fazën e parë të kësaj pdv-je.</w:t>
      </w:r>
    </w:p>
    <w:p>
      <w:pPr>
        <w:pStyle w:val="Anisarelacioni"/>
        <w:rPr>
          <w:rFonts w:ascii="Calibri" w:hAnsi="Calibri" w:eastAsia="" w:cs="" w:cstheme="minorBidi" w:eastAsiaTheme="minorEastAsia"/>
          <w:sz w:val="22"/>
          <w:szCs w:val="22"/>
          <w:lang w:val="sq-AL" w:eastAsia="en-US" w:bidi="ar-SA"/>
        </w:rPr>
      </w:pPr>
      <w:r>
        <w:rPr>
          <w:rFonts w:eastAsia="" w:cs="" w:cstheme="minorBidi" w:eastAsiaTheme="minorEastAsia" w:ascii="Calibri" w:hAnsi="Calibri"/>
          <w:sz w:val="22"/>
          <w:szCs w:val="22"/>
          <w:lang w:val="sq-AL" w:eastAsia="en-US" w:bidi="ar-SA"/>
        </w:rPr>
      </w:r>
    </w:p>
    <w:p>
      <w:pPr>
        <w:pStyle w:val="Anisarelacioni"/>
        <w:rPr>
          <w:rFonts w:ascii="Calibri" w:hAnsi="Calibri"/>
          <w:sz w:val="22"/>
          <w:szCs w:val="22"/>
          <w:lang w:val="sq-AL" w:eastAsia="en-US" w:bidi="ar-SA"/>
        </w:rPr>
      </w:pPr>
      <w:r>
        <w:rPr>
          <w:rFonts w:eastAsia="" w:cs="" w:ascii="Calibri" w:hAnsi="Calibri" w:cstheme="minorBidi" w:eastAsiaTheme="minorEastAsia"/>
          <w:sz w:val="22"/>
          <w:szCs w:val="22"/>
          <w:lang w:val="sq-AL" w:eastAsia="en-US" w:bidi="ar-SA"/>
        </w:rPr>
        <w:t xml:space="preserve">Nëntoka e objektit do të shfrytëzohet për destinacionin parkim. Hyrja për në parkim do të jetë nga rruga kryesore, në pjesën veriore të zonës A1 që përdoret edhe si akses emergjence. </w:t>
      </w:r>
    </w:p>
    <w:p>
      <w:pPr>
        <w:pStyle w:val="Anisarelacioni"/>
        <w:rPr>
          <w:rFonts w:ascii="Calibri" w:hAnsi="Calibri"/>
          <w:sz w:val="22"/>
          <w:szCs w:val="22"/>
          <w:lang w:val="sq-AL" w:eastAsia="en-US" w:bidi="ar-SA"/>
        </w:rPr>
      </w:pPr>
      <w:r>
        <w:rPr>
          <w:rFonts w:eastAsia="" w:cs="" w:ascii="Calibri" w:hAnsi="Calibri" w:cstheme="minorBidi" w:eastAsiaTheme="minorEastAsia"/>
          <w:sz w:val="22"/>
          <w:szCs w:val="22"/>
          <w:lang w:val="sq-AL" w:eastAsia="en-US" w:bidi="ar-SA"/>
        </w:rPr>
        <w:t xml:space="preserve"> </w:t>
      </w:r>
      <w:r>
        <w:rPr>
          <w:rFonts w:eastAsia="" w:cs="" w:ascii="Calibri" w:hAnsi="Calibri" w:cstheme="minorBidi" w:eastAsiaTheme="minorEastAsia"/>
          <w:sz w:val="22"/>
          <w:szCs w:val="22"/>
          <w:lang w:val="sq-AL" w:eastAsia="en-US" w:bidi="ar-SA"/>
        </w:rPr>
        <w:t>Ky studim nuk tregon formën përfundimtare të objekteve dhe të kufijve të zonave të meaxhimit, përcakton kriteret urbane të zhvillimit të zonës.</w:t>
      </w:r>
    </w:p>
    <w:p>
      <w:pPr>
        <w:pStyle w:val="Anisarelacioni"/>
        <w:rPr>
          <w:rFonts w:ascii="Calibri" w:hAnsi="Calibri" w:eastAsia="" w:cs="Calibri" w:eastAsiaTheme="minorEastAsia"/>
          <w:sz w:val="22"/>
          <w:szCs w:val="22"/>
          <w:lang w:val="sq-AL" w:eastAsia="en-US" w:bidi="ar-SA"/>
        </w:rPr>
      </w:pPr>
      <w:r>
        <w:rPr>
          <w:rFonts w:eastAsia="" w:cs="Calibri" w:eastAsiaTheme="minorEastAsia" w:ascii="Calibri" w:hAnsi="Calibri"/>
          <w:sz w:val="22"/>
          <w:szCs w:val="22"/>
          <w:lang w:val="sq-AL" w:eastAsia="en-US" w:bidi="ar-SA"/>
        </w:rPr>
      </w:r>
    </w:p>
    <w:p>
      <w:pPr>
        <w:pStyle w:val="Anisarelacioni"/>
        <w:rPr>
          <w:rFonts w:ascii="Calibri" w:hAnsi="Calibri" w:eastAsia="" w:cs="Calibri" w:eastAsiaTheme="minorEastAsia"/>
          <w:sz w:val="22"/>
          <w:szCs w:val="22"/>
          <w:lang w:val="sq-AL" w:eastAsia="en-US" w:bidi="ar-SA"/>
        </w:rPr>
      </w:pPr>
      <w:r>
        <w:rPr>
          <w:rFonts w:eastAsia="" w:cs="Calibri" w:eastAsiaTheme="minorEastAsia" w:ascii="Calibri" w:hAnsi="Calibri"/>
          <w:sz w:val="22"/>
          <w:szCs w:val="22"/>
          <w:lang w:val="sq-AL" w:eastAsia="en-US" w:bidi="ar-SA"/>
        </w:rPr>
      </w:r>
    </w:p>
    <w:p>
      <w:pPr>
        <w:pStyle w:val="Anisarelacioni"/>
        <w:rPr>
          <w:rFonts w:ascii="Calibri" w:hAnsi="Calibri" w:eastAsia="" w:cs="Calibri" w:eastAsiaTheme="minorEastAsia"/>
          <w:sz w:val="22"/>
          <w:szCs w:val="22"/>
          <w:lang w:val="sq-AL" w:eastAsia="en-US" w:bidi="ar-SA"/>
        </w:rPr>
      </w:pPr>
      <w:r>
        <w:rPr>
          <w:rFonts w:eastAsia="" w:cs="Calibri" w:eastAsiaTheme="minorEastAsia" w:ascii="Calibri" w:hAnsi="Calibri"/>
          <w:sz w:val="22"/>
          <w:szCs w:val="22"/>
          <w:lang w:val="sq-AL" w:eastAsia="en-US" w:bidi="ar-SA"/>
        </w:rPr>
      </w:r>
    </w:p>
    <w:p>
      <w:pPr>
        <w:pStyle w:val="Anisarelacioni"/>
        <w:rPr>
          <w:rFonts w:ascii="Calibri" w:hAnsi="Calibri" w:cs="Calibri"/>
          <w:b/>
          <w:b/>
          <w:sz w:val="22"/>
          <w:szCs w:val="22"/>
          <w:lang w:val="sq-AL"/>
        </w:rPr>
      </w:pPr>
      <w:r>
        <w:rPr>
          <w:rFonts w:cs="Calibri" w:ascii="Calibri" w:hAnsi="Calibri"/>
          <w:b/>
          <w:sz w:val="22"/>
          <w:szCs w:val="22"/>
          <w:lang w:val="sq-AL" w:eastAsia="en-US" w:bidi="ar-SA"/>
        </w:rPr>
        <w:t>Kriteret e zhvillimit:</w:t>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1. Zhvillimi i ri i parashikuar nga kjo fazë e PDV-së do të bazohet në rregulloren e PDV-së (faza I), ligjin për planifikimin dhe zhvillimin e territorit në fuqi dhe aktet nënligjore në zbatim të tij.</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2. Të gjitha objektet përgjatë rrugëve kryesore të qytetit duhet të trajtohen me ngjashmeri arkitektonike dhe të vishen me materiale cilësore, me qëllim sistemimin e siluetës së rrugëve.</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3. Lartësia minimale e strukturës për katet banim është 3 m dhe ajo maksimale 3.5m.</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4. Lartësia minimale e strukturës për katin për katin përdhe (shërbime) është 5 m, ndërsa ajo maksimale 5.5m.</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5. Ndërtesat e reja duhet të kenë minimalisht 1 kat parkim nëntokësor.</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6. Pandusi për në katin e parkimit nëntokë nuk duhet të cënojë hapësirat e gjelbra</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7. Numri i vendparkimeve do të saktësohet në çdo rast mbi bazën e sipërfaqeve ndërtimore të</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 xml:space="preserve">propozuara në fazën e aplikimit për leje ndërtimi, sipas kriterit “ </w:t>
      </w:r>
      <w:r>
        <w:rPr>
          <w:rFonts w:ascii="Calibri" w:hAnsi="Calibri"/>
          <w:color w:val="000000"/>
          <w:sz w:val="22"/>
          <w:szCs w:val="22"/>
          <w:lang w:val="sq-AL" w:eastAsia="en-US" w:bidi="ar-SA"/>
        </w:rPr>
        <w:t>1 vendparkim pwr 100 m2 ndwrtim mbi tokw /  shwrbime dhe 1 vendparkim pwr apartamentet / banim</w:t>
      </w:r>
      <w:r>
        <w:rPr>
          <w:rFonts w:ascii="Calibri" w:hAnsi="Calibri"/>
          <w:color w:val="000000"/>
          <w:sz w:val="22"/>
          <w:szCs w:val="22"/>
          <w:lang w:val="sq-AL" w:eastAsia="en-US" w:bidi="ar-SA"/>
        </w:rPr>
        <w:t>”.</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8. Lejohen daljet konsol përtej gjurmës për ballkone (konsol).</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9. Hapësirat rekreative do të pajisen me gjelbërim të mesëm dhe të lartë dhe elementë të mobilimit urban si stola, ndriçues, kalime këmbësoresh etj.</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10. Kontributi për hapësira publike brenda zonës realizohet nëpërmjet hapësirave të gjelbra e rekreative, të trajtuar me një brez perimetral dhe me pemë të larta për hijëzimin e zonës</w:t>
      </w:r>
      <w:r>
        <w:rPr>
          <w:rFonts w:ascii="Calibri" w:hAnsi="Calibri"/>
          <w:color w:val="999999"/>
          <w:sz w:val="22"/>
          <w:szCs w:val="22"/>
          <w:lang w:val="sq-AL" w:eastAsia="en-US" w:bidi="ar-SA"/>
        </w:rPr>
        <w:t>.</w:t>
      </w:r>
    </w:p>
    <w:p>
      <w:pPr>
        <w:pStyle w:val="Normal"/>
        <w:jc w:val="left"/>
        <w:rPr>
          <w:rFonts w:ascii="Calibri" w:hAnsi="Calibri"/>
          <w:sz w:val="22"/>
          <w:szCs w:val="22"/>
          <w:lang w:val="sq-AL" w:eastAsia="en-US" w:bidi="ar-SA"/>
        </w:rPr>
      </w:pPr>
      <w:r>
        <w:rPr>
          <w:rFonts w:ascii="Calibri" w:hAnsi="Calibri"/>
          <w:color w:val="999999"/>
          <w:sz w:val="22"/>
          <w:szCs w:val="22"/>
          <w:lang w:val="sq-AL" w:eastAsia="en-US" w:bidi="ar-SA"/>
        </w:rPr>
        <w:t xml:space="preserve">11. </w:t>
      </w:r>
      <w:r>
        <w:rPr>
          <w:rFonts w:ascii="Calibri" w:hAnsi="Calibri"/>
          <w:color w:val="000000"/>
          <w:sz w:val="22"/>
          <w:szCs w:val="22"/>
          <w:lang w:val="sq-AL" w:eastAsia="en-US" w:bidi="ar-SA"/>
        </w:rPr>
        <w:t>Lartësia e propozuar nga PPV për strukturat brenda njësisë është 8 kat.</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12. Ndërtesat e reja në respektim të nenit 50, pika 4 të rregullores së PPV-së duhet të siguroje zhvillimin e gjelberimit filtrues për sipërfaqe minimalisht 10 % të sipërfaqes së parcelës ose grup parcelave.</w:t>
      </w:r>
    </w:p>
    <w:p>
      <w:pPr>
        <w:pStyle w:val="Normal"/>
        <w:jc w:val="left"/>
        <w:rPr>
          <w:rFonts w:ascii="Calibri" w:hAnsi="Calibri"/>
          <w:sz w:val="22"/>
          <w:szCs w:val="22"/>
          <w:lang w:val="sq-AL" w:eastAsia="en-US" w:bidi="ar-SA"/>
        </w:rPr>
      </w:pPr>
      <w:r>
        <w:rPr>
          <w:rFonts w:ascii="Calibri" w:hAnsi="Calibri"/>
          <w:color w:val="000000"/>
          <w:sz w:val="22"/>
          <w:szCs w:val="22"/>
          <w:lang w:val="sq-AL" w:eastAsia="en-US" w:bidi="ar-SA"/>
        </w:rPr>
        <w:t>13. Hyrjet në parkim janë të lejueshme vetëm në rrugët dytësore dhe terciale.</w:t>
      </w:r>
    </w:p>
    <w:p>
      <w:pPr>
        <w:pStyle w:val="Normal"/>
        <w:jc w:val="left"/>
        <w:rPr>
          <w:rFonts w:ascii="Calibri" w:hAnsi="Calibri" w:cs="Calibri"/>
          <w:sz w:val="22"/>
          <w:szCs w:val="22"/>
          <w:lang w:val="sq-AL" w:eastAsia="en-US" w:bidi="ar-SA"/>
        </w:rPr>
      </w:pPr>
      <w:r>
        <w:rPr>
          <w:rFonts w:cs="Calibri" w:ascii="Calibri" w:hAnsi="Calibri"/>
          <w:sz w:val="22"/>
          <w:szCs w:val="22"/>
          <w:lang w:val="sq-AL" w:eastAsia="en-US" w:bidi="ar-SA"/>
        </w:rPr>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5731510" cy="2711450"/>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8"/>
                    <a:stretch>
                      <a:fillRect/>
                    </a:stretch>
                  </pic:blipFill>
                  <pic:spPr bwMode="auto">
                    <a:xfrm>
                      <a:off x="0" y="0"/>
                      <a:ext cx="5731510" cy="2711450"/>
                    </a:xfrm>
                    <a:prstGeom prst="rect">
                      <a:avLst/>
                    </a:prstGeom>
                  </pic:spPr>
                </pic:pic>
              </a:graphicData>
            </a:graphic>
          </wp:anchor>
        </w:drawing>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5731510" cy="2711450"/>
            <wp:effectExtent l="0" t="0" r="0" b="0"/>
            <wp:wrapSquare wrapText="largest"/>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9"/>
                    <a:stretch>
                      <a:fillRect/>
                    </a:stretch>
                  </pic:blipFill>
                  <pic:spPr bwMode="auto">
                    <a:xfrm>
                      <a:off x="0" y="0"/>
                      <a:ext cx="5731510" cy="2711450"/>
                    </a:xfrm>
                    <a:prstGeom prst="rect">
                      <a:avLst/>
                    </a:prstGeom>
                  </pic:spPr>
                </pic:pic>
              </a:graphicData>
            </a:graphic>
          </wp:anchor>
        </w:drawing>
      </w:r>
    </w:p>
    <w:p>
      <w:pPr>
        <w:pStyle w:val="Anisarelacioni"/>
        <w:rPr>
          <w:rFonts w:ascii="Calibri" w:hAnsi="Calibri" w:cs="Calibri"/>
          <w:sz w:val="22"/>
          <w:szCs w:val="22"/>
          <w:lang w:val="sq-AL" w:eastAsia="en-US" w:bidi="ar-SA"/>
        </w:rPr>
      </w:pPr>
      <w:r>
        <w:rPr>
          <w:rFonts w:cs="Calibri" w:ascii="Calibri" w:hAnsi="Calibri"/>
          <w:sz w:val="22"/>
          <w:szCs w:val="22"/>
          <w:lang w:val="sq-AL" w:eastAsia="en-US" w:bidi="ar-SA"/>
        </w:rPr>
      </w:r>
    </w:p>
    <w:p>
      <w:pPr>
        <w:pStyle w:val="Caption1"/>
        <w:rPr>
          <w:lang w:val="sq-AL" w:eastAsia="en-US" w:bidi="ar-SA"/>
        </w:rPr>
      </w:pPr>
      <w:bookmarkStart w:id="28" w:name="_Toc7789986"/>
      <w:r>
        <w:rPr>
          <w:b w:val="false"/>
          <w:i/>
          <w:color w:val="auto"/>
          <w:sz w:val="16"/>
          <w:lang w:val="sq-AL" w:eastAsia="en-US" w:bidi="ar-SA"/>
        </w:rPr>
        <w:t xml:space="preserve">Figura </w:t>
      </w:r>
      <w:r>
        <w:rPr>
          <w:b w:val="false"/>
          <w:i/>
          <w:sz w:val="16"/>
          <w:lang w:val="sq-AL" w:eastAsia="en-US" w:bidi="ar-SA"/>
        </w:rPr>
        <w:fldChar w:fldCharType="begin"/>
      </w:r>
      <w:r>
        <w:rPr>
          <w:sz w:val="16"/>
          <w:i/>
          <w:b w:val="false"/>
        </w:rPr>
        <w:instrText> SEQ Figura \* ARABIC </w:instrText>
      </w:r>
      <w:r>
        <w:rPr>
          <w:sz w:val="16"/>
          <w:i/>
          <w:b w:val="false"/>
        </w:rPr>
        <w:fldChar w:fldCharType="separate"/>
      </w:r>
      <w:r>
        <w:rPr>
          <w:sz w:val="16"/>
          <w:i/>
          <w:b w:val="false"/>
        </w:rPr>
        <w:t>6</w:t>
      </w:r>
      <w:r>
        <w:rPr>
          <w:sz w:val="16"/>
          <w:i/>
          <w:b w:val="false"/>
        </w:rPr>
        <w:fldChar w:fldCharType="end"/>
      </w:r>
      <w:r>
        <w:rPr>
          <w:b w:val="false"/>
          <w:i/>
          <w:color w:val="auto"/>
          <w:sz w:val="16"/>
          <w:lang w:val="sq-AL" w:eastAsia="en-US" w:bidi="ar-SA"/>
        </w:rPr>
        <w:t xml:space="preserve">_Imazh nga studimi për nen-njesine </w:t>
      </w:r>
      <w:r>
        <w:rPr>
          <w:b w:val="false"/>
          <w:i/>
          <w:color w:val="auto"/>
          <w:sz w:val="16"/>
          <w:lang w:val="sq-AL" w:eastAsia="en-US" w:bidi="ar-SA"/>
        </w:rPr>
        <w:t>1</w:t>
      </w:r>
      <w:r>
        <w:rPr>
          <w:b w:val="false"/>
          <w:i/>
          <w:color w:val="auto"/>
          <w:sz w:val="16"/>
          <w:lang w:val="sq-AL" w:eastAsia="en-US" w:bidi="ar-SA"/>
        </w:rPr>
        <w:t xml:space="preserve"> në njësinë Tr/3</w:t>
      </w:r>
      <w:bookmarkEnd w:id="28"/>
      <w:r>
        <w:rPr>
          <w:b w:val="false"/>
          <w:i/>
          <w:color w:val="auto"/>
          <w:sz w:val="16"/>
          <w:lang w:val="sq-AL" w:eastAsia="en-US" w:bidi="ar-SA"/>
        </w:rPr>
        <w:t>46</w:t>
      </w:r>
    </w:p>
    <w:p>
      <w:pPr>
        <w:pStyle w:val="Anisarelacioni"/>
        <w:spacing w:lineRule="auto" w:line="360"/>
        <w:rPr>
          <w:rFonts w:ascii="Calibri" w:hAnsi="Calibri"/>
          <w:sz w:val="22"/>
          <w:szCs w:val="22"/>
          <w:lang w:val="sq-AL" w:eastAsia="en-US" w:bidi="ar-SA"/>
        </w:rPr>
      </w:pPr>
      <w:r>
        <w:rPr>
          <w:rFonts w:ascii="Calibri" w:hAnsi="Calibri"/>
          <w:sz w:val="22"/>
          <w:szCs w:val="22"/>
          <w:lang w:val="sq-AL" w:eastAsia="en-US" w:bidi="ar-SA"/>
        </w:rPr>
        <w:t>Parcelat që menaxhohen për zhvillimin e këtyre strukturave të reja japin kontribut për zhvillimin e hapësirave publike. Kjo hapësirë e re rekreative është e vendosur përgjatë  perimetrit te objektit, ne tre drejtimet lindje, jug, perendim. Ajo ka një sipërfaqe totale prej 8</w:t>
      </w:r>
      <w:r>
        <w:rPr>
          <w:rFonts w:ascii="Calibri" w:hAnsi="Calibri"/>
          <w:sz w:val="22"/>
          <w:szCs w:val="22"/>
          <w:lang w:val="sq-AL" w:eastAsia="en-US" w:bidi="ar-SA"/>
        </w:rPr>
        <w:t>71</w:t>
      </w:r>
      <w:r>
        <w:rPr>
          <w:rFonts w:ascii="Calibri" w:hAnsi="Calibri"/>
          <w:sz w:val="22"/>
          <w:szCs w:val="22"/>
          <w:lang w:val="sq-AL" w:eastAsia="en-US" w:bidi="ar-SA"/>
        </w:rPr>
        <w:t xml:space="preserve"> m² e cila do të jëtë e gjelbëruar me pemë të larta. Në këtë hapësirë propozohet të ketë kënde lojrash për fëmijë dhe sheshe pushimi me elementët përkatës të mobilimit urban si: stola, ndriçime, vende depozitimi mbeturinash,etj. </w:t>
      </w:r>
    </w:p>
    <w:p>
      <w:pPr>
        <w:pStyle w:val="Anisarelacioni"/>
        <w:spacing w:lineRule="auto" w:line="360"/>
        <w:rPr>
          <w:sz w:val="24"/>
          <w:szCs w:val="24"/>
          <w:lang w:val="sq-AL" w:eastAsia="en-US" w:bidi="ar-SA"/>
        </w:rPr>
      </w:pPr>
      <w:r>
        <w:rPr>
          <w:sz w:val="24"/>
          <w:szCs w:val="24"/>
          <w:lang w:val="sq-AL" w:eastAsia="en-US" w:bidi="ar-SA"/>
        </w:rPr>
      </w:r>
    </w:p>
    <w:p>
      <w:pPr>
        <w:pStyle w:val="Normal"/>
        <w:spacing w:lineRule="auto" w:line="360" w:before="0" w:after="0"/>
        <w:ind w:right="175" w:hanging="0"/>
        <w:jc w:val="both"/>
        <w:rPr>
          <w:rFonts w:ascii="Times New Roman" w:hAnsi="Times New Roman" w:eastAsia="Times New Roman"/>
          <w:bCs/>
        </w:rPr>
      </w:pPr>
      <w:r>
        <w:rPr>
          <w:rFonts w:cs="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Anisarelacioni"/>
        <w:rPr>
          <w:rFonts w:ascii="Calibri" w:hAnsi="Calibri" w:cs="Calibri"/>
          <w:lang w:val="sq-AL" w:eastAsia="en-US" w:bidi="ar-SA"/>
        </w:rPr>
      </w:pPr>
      <w:r>
        <w:rPr>
          <w:rFonts w:cs="Calibri" w:ascii="Calibri" w:hAnsi="Calibri"/>
          <w:lang w:val="sq-AL" w:eastAsia="en-US" w:bidi="ar-SA"/>
        </w:rPr>
      </w:r>
    </w:p>
    <w:p>
      <w:pPr>
        <w:pStyle w:val="Heading1"/>
        <w:rPr>
          <w:lang w:val="sq-AL"/>
        </w:rPr>
      </w:pPr>
      <w:bookmarkStart w:id="29" w:name="__RefHeading___Toc2530_2015891183"/>
      <w:bookmarkStart w:id="30" w:name="_Toc7790040"/>
      <w:bookmarkEnd w:id="29"/>
      <w:r>
        <w:rPr>
          <w:rFonts w:cs="Calibri" w:ascii="Calibri" w:hAnsi="Calibri"/>
          <w:b/>
          <w:color w:val="auto"/>
          <w:sz w:val="28"/>
          <w:szCs w:val="28"/>
          <w:lang w:val="sq-AL" w:eastAsia="en-US" w:bidi="ar-SA"/>
        </w:rPr>
        <w:t>Lista e figurave:</w:t>
      </w:r>
      <w:bookmarkEnd w:id="30"/>
    </w:p>
    <w:p>
      <w:pPr>
        <w:pStyle w:val="Tableoffigures"/>
        <w:tabs>
          <w:tab w:val="clear" w:pos="720"/>
          <w:tab w:val="right" w:pos="9017" w:leader="dot"/>
        </w:tabs>
        <w:rPr/>
      </w:pPr>
      <w:hyperlink w:anchor="_Toc7789981">
        <w:r>
          <w:rPr>
            <w:rStyle w:val="IndexLink"/>
            <w:lang w:val="sq-AL" w:eastAsia="en-US" w:bidi="ar-SA"/>
          </w:rPr>
          <w:t>Figura 1_Harta e mënyrave të ndërhyrjes në territor, njësia strukturore TR/346</w:t>
        </w:r>
        <w:r>
          <w:rPr>
            <w:webHidden/>
          </w:rPr>
          <w:fldChar w:fldCharType="begin"/>
        </w:r>
        <w:r>
          <w:rPr>
            <w:webHidden/>
          </w:rPr>
          <w:instrText>PAGEREF _Toc7789981 \h</w:instrText>
        </w:r>
        <w:r>
          <w:rPr>
            <w:webHidden/>
          </w:rPr>
          <w:fldChar w:fldCharType="separate"/>
        </w:r>
        <w:r>
          <w:rPr>
            <w:rStyle w:val="ListLabel53"/>
            <w:vanish/>
            <w:lang w:val="sq-AL" w:eastAsia="en-US" w:bidi="ar-SA"/>
          </w:rPr>
          <w:fldChar w:fldCharType="begin"/>
        </w:r>
        <w:r>
          <w:rPr>
            <w:webHidden/>
          </w:rPr>
          <w:fldChar w:fldCharType="end"/>
        </w:r>
        <w:r>
          <w:rPr>
            <w:rStyle w:val="ListLabel53"/>
            <w:vanish/>
          </w:rPr>
          <w:instrText> PAGEREF _Toc7789981 \h </w:instrText>
        </w:r>
        <w:r>
          <w:rPr>
            <w:rStyle w:val="ListLabel53"/>
            <w:vanish/>
          </w:rPr>
          <w:fldChar w:fldCharType="separate"/>
        </w:r>
        <w:r>
          <w:rPr>
            <w:rStyle w:val="ListLabel53"/>
            <w:vanish/>
          </w:rPr>
          <w:t>9</w:t>
        </w:r>
        <w:r>
          <w:rPr>
            <w:rStyle w:val="ListLabel53"/>
            <w:vanish/>
          </w:rPr>
          <w:fldChar w:fldCharType="end"/>
        </w:r>
      </w:hyperlink>
    </w:p>
    <w:p>
      <w:pPr>
        <w:pStyle w:val="Tableoffigures"/>
        <w:tabs>
          <w:tab w:val="clear" w:pos="720"/>
          <w:tab w:val="right" w:pos="9017" w:leader="dot"/>
        </w:tabs>
        <w:rPr/>
      </w:pPr>
      <w:hyperlink w:anchor="_Toc7789982">
        <w:r>
          <w:rPr>
            <w:rStyle w:val="IndexLink"/>
            <w:lang w:val="sq-AL" w:eastAsia="en-US" w:bidi="ar-SA"/>
          </w:rPr>
          <w:t>Figura 2_Harta e gjendjes ekzistuese për njesine strukturore TR/346 në nën-njësinë 4</w:t>
        </w:r>
        <w:r>
          <w:rPr>
            <w:webHidden/>
          </w:rPr>
          <w:fldChar w:fldCharType="begin"/>
        </w:r>
        <w:r>
          <w:rPr>
            <w:webHidden/>
          </w:rPr>
          <w:instrText>PAGEREF _Toc7789982 \h</w:instrText>
        </w:r>
        <w:r>
          <w:rPr>
            <w:webHidden/>
          </w:rPr>
          <w:fldChar w:fldCharType="separate"/>
        </w:r>
        <w:r>
          <w:rPr>
            <w:rStyle w:val="ListLabel53"/>
            <w:vanish/>
            <w:lang w:val="sq-AL" w:eastAsia="en-US" w:bidi="ar-SA"/>
          </w:rPr>
          <w:fldChar w:fldCharType="begin"/>
        </w:r>
        <w:r>
          <w:rPr>
            <w:webHidden/>
          </w:rPr>
          <w:fldChar w:fldCharType="end"/>
        </w:r>
        <w:r>
          <w:rPr>
            <w:rStyle w:val="ListLabel53"/>
            <w:vanish/>
          </w:rPr>
          <w:instrText> PAGEREF _Toc7789982 \h </w:instrText>
        </w:r>
        <w:r>
          <w:rPr>
            <w:rStyle w:val="ListLabel53"/>
            <w:vanish/>
          </w:rPr>
          <w:fldChar w:fldCharType="separate"/>
        </w:r>
        <w:r>
          <w:rPr>
            <w:rStyle w:val="ListLabel53"/>
            <w:vanish/>
          </w:rPr>
          <w:t>10</w:t>
        </w:r>
        <w:r>
          <w:rPr>
            <w:rStyle w:val="ListLabel53"/>
            <w:vanish/>
          </w:rPr>
          <w:fldChar w:fldCharType="end"/>
        </w:r>
      </w:hyperlink>
    </w:p>
    <w:p>
      <w:pPr>
        <w:pStyle w:val="Tableoffigures"/>
        <w:tabs>
          <w:tab w:val="clear" w:pos="720"/>
          <w:tab w:val="right" w:pos="9017" w:leader="dot"/>
        </w:tabs>
        <w:rPr/>
      </w:pPr>
      <w:hyperlink w:anchor="_Toc7789983">
        <w:r>
          <w:rPr>
            <w:rStyle w:val="IndexLink"/>
            <w:lang w:val="sq-AL" w:eastAsia="en-US" w:bidi="ar-SA"/>
          </w:rPr>
          <w:t>Figura 3_Harta e përdorimit të propozuar të tokës për njesine TR/346 në nën-njësinë 4</w:t>
        </w:r>
        <w:r>
          <w:rPr>
            <w:webHidden/>
          </w:rPr>
          <w:fldChar w:fldCharType="begin"/>
        </w:r>
        <w:r>
          <w:rPr>
            <w:webHidden/>
          </w:rPr>
          <w:instrText>PAGEREF _Toc7789983 \h</w:instrText>
        </w:r>
        <w:r>
          <w:rPr>
            <w:webHidden/>
          </w:rPr>
          <w:fldChar w:fldCharType="separate"/>
        </w:r>
        <w:r>
          <w:rPr>
            <w:rStyle w:val="ListLabel53"/>
            <w:vanish/>
            <w:lang w:val="sq-AL" w:eastAsia="en-US" w:bidi="ar-SA"/>
          </w:rPr>
          <w:fldChar w:fldCharType="begin"/>
        </w:r>
        <w:r>
          <w:rPr>
            <w:webHidden/>
          </w:rPr>
          <w:fldChar w:fldCharType="end"/>
        </w:r>
        <w:r>
          <w:rPr>
            <w:rStyle w:val="ListLabel53"/>
            <w:vanish/>
          </w:rPr>
          <w:instrText> PAGEREF _Toc7789983 \h </w:instrText>
        </w:r>
        <w:r>
          <w:rPr>
            <w:rStyle w:val="ListLabel53"/>
            <w:vanish/>
          </w:rPr>
          <w:fldChar w:fldCharType="separate"/>
        </w:r>
        <w:r>
          <w:rPr>
            <w:rStyle w:val="ListLabel53"/>
            <w:vanish/>
          </w:rPr>
          <w:t>13</w:t>
        </w:r>
        <w:r>
          <w:rPr>
            <w:rStyle w:val="ListLabel53"/>
            <w:vanish/>
          </w:rPr>
          <w:fldChar w:fldCharType="end"/>
        </w:r>
      </w:hyperlink>
    </w:p>
    <w:p>
      <w:pPr>
        <w:pStyle w:val="Tableoffigures"/>
        <w:tabs>
          <w:tab w:val="clear" w:pos="720"/>
          <w:tab w:val="right" w:pos="9017" w:leader="dot"/>
        </w:tabs>
        <w:rPr/>
      </w:pPr>
      <w:hyperlink w:anchor="_Toc7789984">
        <w:r>
          <w:rPr>
            <w:rStyle w:val="IndexLink"/>
            <w:lang w:val="sq-AL" w:eastAsia="en-US" w:bidi="ar-SA"/>
          </w:rPr>
          <w:t>Figura 4_Harta e pronësisë mbi truallin për njesine strukturore TR/346 në nën-njësinë 4</w:t>
        </w:r>
        <w:r>
          <w:rPr>
            <w:webHidden/>
          </w:rPr>
          <w:fldChar w:fldCharType="begin"/>
        </w:r>
        <w:r>
          <w:rPr>
            <w:webHidden/>
          </w:rPr>
          <w:instrText>PAGEREF _Toc7789984 \h</w:instrText>
        </w:r>
        <w:r>
          <w:rPr>
            <w:webHidden/>
          </w:rPr>
          <w:fldChar w:fldCharType="separate"/>
        </w:r>
        <w:r>
          <w:rPr>
            <w:rStyle w:val="ListLabel53"/>
            <w:vanish/>
            <w:lang w:val="sq-AL" w:eastAsia="en-US" w:bidi="ar-SA"/>
          </w:rPr>
          <w:fldChar w:fldCharType="begin"/>
        </w:r>
        <w:r>
          <w:rPr>
            <w:webHidden/>
          </w:rPr>
          <w:fldChar w:fldCharType="end"/>
        </w:r>
        <w:r>
          <w:rPr>
            <w:rStyle w:val="ListLabel53"/>
            <w:vanish/>
          </w:rPr>
          <w:instrText> PAGEREF _Toc7789984 \h </w:instrText>
        </w:r>
        <w:r>
          <w:rPr>
            <w:rStyle w:val="ListLabel53"/>
            <w:vanish/>
          </w:rPr>
          <w:fldChar w:fldCharType="separate"/>
        </w:r>
        <w:r>
          <w:rPr>
            <w:rStyle w:val="ListLabel53"/>
            <w:vanish/>
          </w:rPr>
          <w:t>13</w:t>
        </w:r>
        <w:r>
          <w:rPr>
            <w:rStyle w:val="ListLabel53"/>
            <w:vanish/>
          </w:rPr>
          <w:fldChar w:fldCharType="end"/>
        </w:r>
      </w:hyperlink>
    </w:p>
    <w:p>
      <w:pPr>
        <w:pStyle w:val="Tableoffigures"/>
        <w:tabs>
          <w:tab w:val="clear" w:pos="720"/>
          <w:tab w:val="right" w:pos="9017" w:leader="dot"/>
        </w:tabs>
        <w:rPr/>
      </w:pPr>
      <w:hyperlink w:anchor="_Toc7789985">
        <w:r>
          <w:rPr>
            <w:rStyle w:val="IndexLink"/>
            <w:lang w:val="sq-AL" w:eastAsia="en-US" w:bidi="ar-SA"/>
          </w:rPr>
          <w:t>Figura 5_Planimetria e përgjithshme e studimit për njesine strukturore TR/346 në nën-njësinë 4</w:t>
        </w:r>
        <w:r>
          <w:rPr>
            <w:webHidden/>
          </w:rPr>
          <w:fldChar w:fldCharType="begin"/>
        </w:r>
        <w:r>
          <w:rPr>
            <w:webHidden/>
          </w:rPr>
          <w:instrText>PAGEREF _Toc7789985 \h</w:instrText>
        </w:r>
        <w:r>
          <w:rPr>
            <w:webHidden/>
          </w:rPr>
          <w:fldChar w:fldCharType="separate"/>
        </w:r>
        <w:r>
          <w:rPr>
            <w:rStyle w:val="ListLabel53"/>
            <w:vanish/>
            <w:lang w:val="sq-AL" w:eastAsia="en-US" w:bidi="ar-SA"/>
          </w:rPr>
          <w:fldChar w:fldCharType="begin"/>
        </w:r>
        <w:r>
          <w:rPr>
            <w:webHidden/>
          </w:rPr>
          <w:fldChar w:fldCharType="end"/>
        </w:r>
        <w:r>
          <w:rPr>
            <w:rStyle w:val="ListLabel53"/>
            <w:vanish/>
          </w:rPr>
          <w:instrText> PAGEREF _Toc7789985 \h </w:instrText>
        </w:r>
        <w:r>
          <w:rPr>
            <w:rStyle w:val="ListLabel53"/>
            <w:vanish/>
          </w:rPr>
          <w:fldChar w:fldCharType="separate"/>
        </w:r>
        <w:r>
          <w:rPr>
            <w:rStyle w:val="ListLabel53"/>
            <w:vanish/>
          </w:rPr>
          <w:t>14</w:t>
        </w:r>
        <w:r>
          <w:rPr>
            <w:rStyle w:val="ListLabel53"/>
            <w:vanish/>
          </w:rPr>
          <w:fldChar w:fldCharType="end"/>
        </w:r>
      </w:hyperlink>
    </w:p>
    <w:p>
      <w:pPr>
        <w:pStyle w:val="Tableoffigures"/>
        <w:tabs>
          <w:tab w:val="clear" w:pos="720"/>
          <w:tab w:val="right" w:pos="9017" w:leader="dot"/>
        </w:tabs>
        <w:rPr/>
      </w:pPr>
      <w:hyperlink w:anchor="_Toc7789986">
        <w:r>
          <w:rPr>
            <w:rStyle w:val="IndexLink"/>
            <w:lang w:val="sq-AL" w:eastAsia="en-US" w:bidi="ar-SA"/>
          </w:rPr>
          <w:t>Figura 6_Imazh nga studimi për nen-njesine 4 në njësinë TR/346</w:t>
        </w:r>
        <w:r>
          <w:rPr>
            <w:rStyle w:val="IndexLink"/>
            <w:vanish w:val="false"/>
            <w:lang w:val="sq-AL" w:eastAsia="en-US" w:bidi="ar-SA"/>
          </w:rPr>
          <w:tab/>
          <w:t>1</w:t>
        </w:r>
      </w:hyperlink>
      <w:r>
        <w:rPr>
          <w:vanish w:val="false"/>
          <w:lang w:val="sq-AL" w:eastAsia="en-US" w:bidi="ar-SA"/>
        </w:rPr>
        <w:t>6</w:t>
      </w:r>
    </w:p>
    <w:p>
      <w:pPr>
        <w:pStyle w:val="Anisarelacioni"/>
        <w:rPr>
          <w:lang w:val="sq-AL" w:eastAsia="en-US" w:bidi="ar-SA"/>
        </w:rPr>
      </w:pPr>
      <w:r>
        <w:rPr>
          <w:lang w:val="sq-AL" w:eastAsia="en-US" w:bidi="ar-SA"/>
        </w:rPr>
      </w:r>
    </w:p>
    <w:sectPr>
      <w:headerReference w:type="default" r:id="rId10"/>
      <w:footerReference w:type="default" r:id="rId11"/>
      <w:type w:val="nextPage"/>
      <w:pgSz w:w="11906" w:h="16838"/>
      <w:pgMar w:left="1440" w:right="1440" w:header="720" w:top="1440" w:footer="720" w:bottom="1440" w:gutter="0"/>
      <w:pgNumType w:start="0" w:fmt="decimal"/>
      <w:formProt w:val="false"/>
      <w:titlePg/>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Verdana">
    <w:charset w:val="00"/>
    <w:family w:val="roman"/>
    <w:pitch w:val="variable"/>
  </w:font>
  <w:font w:name="Tahoma">
    <w:charset w:val="00"/>
    <w:family w:val="roman"/>
    <w:pitch w:val="variable"/>
  </w:font>
  <w:font w:name="Liberation Sans">
    <w:altName w:val="Arial"/>
    <w:charset w:val="00"/>
    <w:family w:val="roman"/>
    <w:pitch w:val="variable"/>
  </w:font>
  <w:font w:name="Calibri">
    <w:charset w:val="01"/>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627351745"/>
    </w:sdtPr>
    <w:sdtContent>
      <w:p>
        <w:pPr>
          <w:pStyle w:val="Footer"/>
          <w:jc w:val="right"/>
          <w:rPr/>
        </w:pPr>
        <w:r>
          <w:rPr/>
          <w:fldChar w:fldCharType="begin"/>
        </w:r>
        <w:r>
          <w:rPr/>
          <w:instrText> PAGE </w:instrText>
        </w:r>
        <w:r>
          <w:rPr/>
          <w:fldChar w:fldCharType="separate"/>
        </w:r>
        <w:r>
          <w:rPr/>
          <w:t>1</w:t>
        </w:r>
        <w:r>
          <w:rPr/>
          <w:fldChar w:fldCharType="end"/>
        </w:r>
      </w:p>
    </w:sdtContent>
  </w:sdt>
  <w:p>
    <w:pPr>
      <w:pStyle w:val="Foo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spacing w:lineRule="auto" w:line="276"/>
      <w:rPr/>
    </w:pPr>
    <w:r>
      <w:rPr>
        <w:rFonts w:cs="Calibri" w:cstheme="minorHAnsi"/>
        <w:sz w:val="18"/>
        <w:lang w:val="en-US"/>
      </w:rPr>
      <w:t>RELACION, PLANI DETAJUAR VENDOR, FAZA E DYTE TR/346, NEN-NJESIA 1</w:t>
    </w:r>
  </w:p>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bullet"/>
      <w:lvlText w:val=""/>
      <w:lvlJc w:val="left"/>
      <w:pPr>
        <w:ind w:left="720" w:hanging="360"/>
      </w:pPr>
      <w:rPr>
        <w:rFonts w:ascii="Symbol" w:hAnsi="Symbol" w:cs="Symbol" w:hint="default"/>
        <w:sz w:val="22"/>
        <w:b/>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3">
    <w:lvl w:ilvl="0">
      <w:start w:val="1"/>
      <w:numFmt w:val="bullet"/>
      <w:lvlText w:val=""/>
      <w:lvlJc w:val="left"/>
      <w:pPr>
        <w:ind w:left="720" w:hanging="360"/>
      </w:pPr>
      <w:rPr>
        <w:rFonts w:ascii="Symbol" w:hAnsi="Symbol" w:cs="Symbol" w:hint="default"/>
        <w:b/>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4">
    <w:lvl w:ilvl="0">
      <w:start w:val="1"/>
      <w:numFmt w:val="bullet"/>
      <w:lvlText w:val=""/>
      <w:lvlJc w:val="left"/>
      <w:pPr>
        <w:ind w:left="720" w:hanging="360"/>
      </w:pPr>
      <w:rPr>
        <w:rFonts w:ascii="Symbol" w:hAnsi="Symbol" w:cs="Symbol" w:hint="default"/>
        <w:b/>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5">
    <w:lvl w:ilvl="0">
      <w:start w:val="1"/>
      <w:numFmt w:val="bullet"/>
      <w:lvlText w:val=""/>
      <w:lvlJc w:val="left"/>
      <w:pPr>
        <w:ind w:left="720" w:hanging="360"/>
      </w:pPr>
      <w:rPr>
        <w:rFonts w:ascii="Symbol" w:hAnsi="Symbol" w:cs="Symbol" w:hint="default"/>
        <w:b/>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10"/>
  <w:defaultTabStop w:val="720"/>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en-US" w:eastAsia="en-US"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1"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b706ed"/>
    <w:pPr>
      <w:widowControl/>
      <w:bidi w:val="0"/>
      <w:spacing w:lineRule="auto" w:line="276" w:before="0" w:after="200"/>
      <w:jc w:val="left"/>
    </w:pPr>
    <w:rPr>
      <w:rFonts w:ascii="Calibri" w:hAnsi="Calibri" w:eastAsia="Calibri" w:cs="Times New Roman" w:asciiTheme="minorHAnsi" w:eastAsiaTheme="minorHAnsi" w:hAnsiTheme="minorHAnsi"/>
      <w:color w:val="auto"/>
      <w:kern w:val="0"/>
      <w:sz w:val="22"/>
      <w:szCs w:val="22"/>
      <w:lang w:val="sq-AL" w:eastAsia="en-US" w:bidi="ar-SA"/>
    </w:rPr>
  </w:style>
  <w:style w:type="paragraph" w:styleId="Heading1">
    <w:name w:val="Heading 1"/>
    <w:basedOn w:val="Normal"/>
    <w:next w:val="Normal"/>
    <w:link w:val="Heading1Char"/>
    <w:uiPriority w:val="9"/>
    <w:qFormat/>
    <w:rsid w:val="00d77d9a"/>
    <w:pPr>
      <w:keepNext w:val="true"/>
      <w:keepLines/>
      <w:spacing w:before="240" w:after="0"/>
      <w:outlineLvl w:val="0"/>
    </w:pPr>
    <w:rPr>
      <w:rFonts w:ascii="Cambria" w:hAnsi="Cambria" w:eastAsia="" w:cs="" w:asciiTheme="majorHAnsi" w:cstheme="majorBidi" w:eastAsiaTheme="majorEastAsia" w:hAnsiTheme="majorHAnsi"/>
      <w:color w:val="365F91" w:themeColor="accent1" w:themeShade="bf"/>
      <w:sz w:val="32"/>
      <w:szCs w:val="32"/>
    </w:rPr>
  </w:style>
  <w:style w:type="character" w:styleId="DefaultParagraphFont" w:default="1">
    <w:name w:val="Default Paragraph Font"/>
    <w:uiPriority w:val="1"/>
    <w:semiHidden/>
    <w:unhideWhenUsed/>
    <w:qFormat/>
    <w:rPr/>
  </w:style>
  <w:style w:type="character" w:styleId="TitleChar" w:customStyle="1">
    <w:name w:val="Title Char"/>
    <w:basedOn w:val="DefaultParagraphFont"/>
    <w:link w:val="Title"/>
    <w:qFormat/>
    <w:rsid w:val="00b706ed"/>
    <w:rPr>
      <w:rFonts w:ascii="Verdana" w:hAnsi="Verdana" w:eastAsia="Times New Roman" w:cs="Times New Roman"/>
      <w:b/>
      <w:bCs/>
      <w:sz w:val="24"/>
      <w:szCs w:val="24"/>
      <w:lang w:val="en-GB"/>
    </w:rPr>
  </w:style>
  <w:style w:type="character" w:styleId="HeaderChar" w:customStyle="1">
    <w:name w:val="Header Char"/>
    <w:basedOn w:val="DefaultParagraphFont"/>
    <w:link w:val="Header"/>
    <w:uiPriority w:val="99"/>
    <w:qFormat/>
    <w:rsid w:val="00b706ed"/>
    <w:rPr>
      <w:rFonts w:ascii="Calibri" w:hAnsi="Calibri" w:eastAsia="Calibri" w:cs="Times New Roman"/>
      <w:lang w:val="sq-AL"/>
    </w:rPr>
  </w:style>
  <w:style w:type="character" w:styleId="FooterChar" w:customStyle="1">
    <w:name w:val="Footer Char"/>
    <w:basedOn w:val="DefaultParagraphFont"/>
    <w:link w:val="Footer"/>
    <w:uiPriority w:val="99"/>
    <w:qFormat/>
    <w:rsid w:val="00b706ed"/>
    <w:rPr>
      <w:rFonts w:ascii="Calibri" w:hAnsi="Calibri" w:eastAsia="Calibri" w:cs="Times New Roman"/>
      <w:lang w:val="sq-AL"/>
    </w:rPr>
  </w:style>
  <w:style w:type="character" w:styleId="NoSpacingChar" w:customStyle="1">
    <w:name w:val="No Spacing Char"/>
    <w:basedOn w:val="DefaultParagraphFont"/>
    <w:link w:val="NoSpacing"/>
    <w:uiPriority w:val="1"/>
    <w:qFormat/>
    <w:rsid w:val="00b706ed"/>
    <w:rPr>
      <w:rFonts w:eastAsia="" w:eastAsiaTheme="minorEastAsia"/>
    </w:rPr>
  </w:style>
  <w:style w:type="character" w:styleId="BalloonTextChar" w:customStyle="1">
    <w:name w:val="Balloon Text Char"/>
    <w:basedOn w:val="DefaultParagraphFont"/>
    <w:link w:val="BalloonText"/>
    <w:uiPriority w:val="99"/>
    <w:semiHidden/>
    <w:qFormat/>
    <w:rsid w:val="00b706ed"/>
    <w:rPr>
      <w:rFonts w:ascii="Tahoma" w:hAnsi="Tahoma" w:eastAsia="Calibri" w:cs="Tahoma"/>
      <w:sz w:val="16"/>
      <w:szCs w:val="16"/>
      <w:lang w:val="sq-AL"/>
    </w:rPr>
  </w:style>
  <w:style w:type="character" w:styleId="AnisarelacioniChar" w:customStyle="1">
    <w:name w:val="Anisa relacioni Char"/>
    <w:link w:val="Anisarelacioni"/>
    <w:qFormat/>
    <w:rsid w:val="00c21875"/>
    <w:rPr>
      <w:rFonts w:ascii="Times New Roman" w:hAnsi="Times New Roman" w:eastAsia="Calibri" w:cs="Times New Roman"/>
      <w:sz w:val="24"/>
      <w:szCs w:val="24"/>
    </w:rPr>
  </w:style>
  <w:style w:type="character" w:styleId="ANISAfiguraChar" w:customStyle="1">
    <w:name w:val="ANISA figura Char"/>
    <w:link w:val="ANISAfigura"/>
    <w:qFormat/>
    <w:rsid w:val="001115ab"/>
    <w:rPr>
      <w:rFonts w:ascii="Times New Roman" w:hAnsi="Times New Roman" w:eastAsia="Times New Roman" w:cs="Times New Roman"/>
      <w:bCs/>
      <w:i/>
      <w:sz w:val="20"/>
      <w:szCs w:val="20"/>
      <w:lang w:val="en-GB" w:eastAsia="en-GB"/>
    </w:rPr>
  </w:style>
  <w:style w:type="character" w:styleId="DocumentMapChar" w:customStyle="1">
    <w:name w:val="Document Map Char"/>
    <w:basedOn w:val="DefaultParagraphFont"/>
    <w:link w:val="DocumentMap"/>
    <w:uiPriority w:val="99"/>
    <w:semiHidden/>
    <w:qFormat/>
    <w:rsid w:val="00964c95"/>
    <w:rPr>
      <w:rFonts w:ascii="Tahoma" w:hAnsi="Tahoma" w:eastAsia="Calibri" w:cs="Tahoma"/>
      <w:sz w:val="16"/>
      <w:szCs w:val="16"/>
      <w:lang w:val="sq-AL"/>
    </w:rPr>
  </w:style>
  <w:style w:type="character" w:styleId="Heading1Char" w:customStyle="1">
    <w:name w:val="Heading 1 Char"/>
    <w:basedOn w:val="DefaultParagraphFont"/>
    <w:link w:val="Heading1"/>
    <w:uiPriority w:val="9"/>
    <w:qFormat/>
    <w:rsid w:val="00d77d9a"/>
    <w:rPr>
      <w:rFonts w:ascii="Cambria" w:hAnsi="Cambria" w:eastAsia="" w:cs="" w:asciiTheme="majorHAnsi" w:cstheme="majorBidi" w:eastAsiaTheme="majorEastAsia" w:hAnsiTheme="majorHAnsi"/>
      <w:color w:val="365F91" w:themeColor="accent1" w:themeShade="bf"/>
      <w:sz w:val="32"/>
      <w:szCs w:val="32"/>
      <w:lang w:val="sq-AL"/>
    </w:rPr>
  </w:style>
  <w:style w:type="character" w:styleId="InternetLink">
    <w:name w:val="Internet Link"/>
    <w:basedOn w:val="DefaultParagraphFont"/>
    <w:uiPriority w:val="99"/>
    <w:unhideWhenUsed/>
    <w:rsid w:val="004555b2"/>
    <w:rPr>
      <w:color w:val="0000FF" w:themeColor="hyperlink"/>
      <w:u w:val="single"/>
    </w:rPr>
  </w:style>
  <w:style w:type="character" w:styleId="ListLabel1">
    <w:name w:val="ListLabel 1"/>
    <w:qFormat/>
    <w:rPr>
      <w:rFonts w:eastAsia="Calibri" w:cs="Times New Roman"/>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cs="Courier New"/>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Courier New"/>
    </w:rPr>
  </w:style>
  <w:style w:type="character" w:styleId="IndexLink">
    <w:name w:val="Index Link"/>
    <w:qFormat/>
    <w:rPr/>
  </w:style>
  <w:style w:type="character" w:styleId="ListLabel17">
    <w:name w:val="ListLabel 17"/>
    <w:qFormat/>
    <w:rPr>
      <w:rFonts w:ascii="Calibri" w:hAnsi="Calibri" w:cs="Symbol"/>
      <w:b/>
      <w:sz w:val="22"/>
    </w:rPr>
  </w:style>
  <w:style w:type="character" w:styleId="ListLabel18">
    <w:name w:val="ListLabel 18"/>
    <w:qFormat/>
    <w:rPr>
      <w:rFonts w:cs="Courier New"/>
    </w:rPr>
  </w:style>
  <w:style w:type="character" w:styleId="ListLabel19">
    <w:name w:val="ListLabel 19"/>
    <w:qFormat/>
    <w:rPr>
      <w:rFonts w:cs="Wingdings"/>
    </w:rPr>
  </w:style>
  <w:style w:type="character" w:styleId="ListLabel20">
    <w:name w:val="ListLabel 20"/>
    <w:qFormat/>
    <w:rPr>
      <w:rFonts w:cs="Symbol"/>
    </w:rPr>
  </w:style>
  <w:style w:type="character" w:styleId="ListLabel21">
    <w:name w:val="ListLabel 21"/>
    <w:qFormat/>
    <w:rPr>
      <w:rFonts w:cs="Courier New"/>
    </w:rPr>
  </w:style>
  <w:style w:type="character" w:styleId="ListLabel22">
    <w:name w:val="ListLabel 22"/>
    <w:qFormat/>
    <w:rPr>
      <w:rFonts w:cs="Wingdings"/>
    </w:rPr>
  </w:style>
  <w:style w:type="character" w:styleId="ListLabel23">
    <w:name w:val="ListLabel 23"/>
    <w:qFormat/>
    <w:rPr>
      <w:rFonts w:cs="Symbol"/>
    </w:rPr>
  </w:style>
  <w:style w:type="character" w:styleId="ListLabel24">
    <w:name w:val="ListLabel 24"/>
    <w:qFormat/>
    <w:rPr>
      <w:rFonts w:cs="Courier New"/>
    </w:rPr>
  </w:style>
  <w:style w:type="character" w:styleId="ListLabel25">
    <w:name w:val="ListLabel 25"/>
    <w:qFormat/>
    <w:rPr>
      <w:rFonts w:cs="Wingdings"/>
    </w:rPr>
  </w:style>
  <w:style w:type="character" w:styleId="ListLabel26">
    <w:name w:val="ListLabel 26"/>
    <w:qFormat/>
    <w:rPr>
      <w:rFonts w:cs="Symbol"/>
      <w:b/>
    </w:rPr>
  </w:style>
  <w:style w:type="character" w:styleId="ListLabel27">
    <w:name w:val="ListLabel 27"/>
    <w:qFormat/>
    <w:rPr>
      <w:rFonts w:cs="Courier New"/>
    </w:rPr>
  </w:style>
  <w:style w:type="character" w:styleId="ListLabel28">
    <w:name w:val="ListLabel 28"/>
    <w:qFormat/>
    <w:rPr>
      <w:rFonts w:cs="Wingdings"/>
    </w:rPr>
  </w:style>
  <w:style w:type="character" w:styleId="ListLabel29">
    <w:name w:val="ListLabel 29"/>
    <w:qFormat/>
    <w:rPr>
      <w:rFonts w:cs="Symbol"/>
    </w:rPr>
  </w:style>
  <w:style w:type="character" w:styleId="ListLabel30">
    <w:name w:val="ListLabel 30"/>
    <w:qFormat/>
    <w:rPr>
      <w:rFonts w:cs="Courier New"/>
    </w:rPr>
  </w:style>
  <w:style w:type="character" w:styleId="ListLabel31">
    <w:name w:val="ListLabel 31"/>
    <w:qFormat/>
    <w:rPr>
      <w:rFonts w:cs="Wingdings"/>
    </w:rPr>
  </w:style>
  <w:style w:type="character" w:styleId="ListLabel32">
    <w:name w:val="ListLabel 32"/>
    <w:qFormat/>
    <w:rPr>
      <w:rFonts w:cs="Symbol"/>
    </w:rPr>
  </w:style>
  <w:style w:type="character" w:styleId="ListLabel33">
    <w:name w:val="ListLabel 33"/>
    <w:qFormat/>
    <w:rPr>
      <w:rFonts w:cs="Courier New"/>
    </w:rPr>
  </w:style>
  <w:style w:type="character" w:styleId="ListLabel34">
    <w:name w:val="ListLabel 34"/>
    <w:qFormat/>
    <w:rPr>
      <w:rFonts w:cs="Wingdings"/>
    </w:rPr>
  </w:style>
  <w:style w:type="character" w:styleId="ListLabel35">
    <w:name w:val="ListLabel 35"/>
    <w:qFormat/>
    <w:rPr>
      <w:rFonts w:cs="Symbol"/>
      <w:b/>
    </w:rPr>
  </w:style>
  <w:style w:type="character" w:styleId="ListLabel36">
    <w:name w:val="ListLabel 36"/>
    <w:qFormat/>
    <w:rPr>
      <w:rFonts w:cs="Courier New"/>
    </w:rPr>
  </w:style>
  <w:style w:type="character" w:styleId="ListLabel37">
    <w:name w:val="ListLabel 37"/>
    <w:qFormat/>
    <w:rPr>
      <w:rFonts w:cs="Wingdings"/>
    </w:rPr>
  </w:style>
  <w:style w:type="character" w:styleId="ListLabel38">
    <w:name w:val="ListLabel 38"/>
    <w:qFormat/>
    <w:rPr>
      <w:rFonts w:cs="Symbol"/>
    </w:rPr>
  </w:style>
  <w:style w:type="character" w:styleId="ListLabel39">
    <w:name w:val="ListLabel 39"/>
    <w:qFormat/>
    <w:rPr>
      <w:rFonts w:cs="Courier New"/>
    </w:rPr>
  </w:style>
  <w:style w:type="character" w:styleId="ListLabel40">
    <w:name w:val="ListLabel 40"/>
    <w:qFormat/>
    <w:rPr>
      <w:rFonts w:cs="Wingdings"/>
    </w:rPr>
  </w:style>
  <w:style w:type="character" w:styleId="ListLabel41">
    <w:name w:val="ListLabel 41"/>
    <w:qFormat/>
    <w:rPr>
      <w:rFonts w:cs="Symbol"/>
    </w:rPr>
  </w:style>
  <w:style w:type="character" w:styleId="ListLabel42">
    <w:name w:val="ListLabel 42"/>
    <w:qFormat/>
    <w:rPr>
      <w:rFonts w:cs="Courier New"/>
    </w:rPr>
  </w:style>
  <w:style w:type="character" w:styleId="ListLabel43">
    <w:name w:val="ListLabel 43"/>
    <w:qFormat/>
    <w:rPr>
      <w:rFonts w:cs="Wingdings"/>
    </w:rPr>
  </w:style>
  <w:style w:type="character" w:styleId="ListLabel44">
    <w:name w:val="ListLabel 44"/>
    <w:qFormat/>
    <w:rPr>
      <w:rFonts w:cs="Symbol"/>
      <w:b/>
    </w:rPr>
  </w:style>
  <w:style w:type="character" w:styleId="ListLabel45">
    <w:name w:val="ListLabel 45"/>
    <w:qFormat/>
    <w:rPr>
      <w:rFonts w:cs="Courier New"/>
    </w:rPr>
  </w:style>
  <w:style w:type="character" w:styleId="ListLabel46">
    <w:name w:val="ListLabel 46"/>
    <w:qFormat/>
    <w:rPr>
      <w:rFonts w:cs="Wingdings"/>
    </w:rPr>
  </w:style>
  <w:style w:type="character" w:styleId="ListLabel47">
    <w:name w:val="ListLabel 47"/>
    <w:qFormat/>
    <w:rPr>
      <w:rFonts w:cs="Symbol"/>
    </w:rPr>
  </w:style>
  <w:style w:type="character" w:styleId="ListLabel48">
    <w:name w:val="ListLabel 48"/>
    <w:qFormat/>
    <w:rPr>
      <w:rFonts w:cs="Courier New"/>
    </w:rPr>
  </w:style>
  <w:style w:type="character" w:styleId="ListLabel49">
    <w:name w:val="ListLabel 49"/>
    <w:qFormat/>
    <w:rPr>
      <w:rFonts w:cs="Wingdings"/>
    </w:rPr>
  </w:style>
  <w:style w:type="character" w:styleId="ListLabel50">
    <w:name w:val="ListLabel 50"/>
    <w:qFormat/>
    <w:rPr>
      <w:rFonts w:cs="Symbol"/>
    </w:rPr>
  </w:style>
  <w:style w:type="character" w:styleId="ListLabel51">
    <w:name w:val="ListLabel 51"/>
    <w:qFormat/>
    <w:rPr>
      <w:rFonts w:cs="Courier New"/>
    </w:rPr>
  </w:style>
  <w:style w:type="character" w:styleId="ListLabel52">
    <w:name w:val="ListLabel 52"/>
    <w:qFormat/>
    <w:rPr>
      <w:rFonts w:cs="Wingdings"/>
    </w:rPr>
  </w:style>
  <w:style w:type="character" w:styleId="ListLabel53">
    <w:name w:val="ListLabel 53"/>
    <w:qFormat/>
    <w:rPr>
      <w:lang w:val="sq-AL"/>
    </w:rPr>
  </w:style>
  <w:style w:type="character" w:styleId="ListLabel54">
    <w:name w:val="ListLabel 54"/>
    <w:qFormat/>
    <w:rPr>
      <w:vanish w:val="false"/>
      <w:lang w:val="sq-AL"/>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Title">
    <w:name w:val="Title"/>
    <w:basedOn w:val="Normal"/>
    <w:link w:val="TitleChar"/>
    <w:qFormat/>
    <w:rsid w:val="00b706ed"/>
    <w:pPr>
      <w:spacing w:lineRule="auto" w:line="240" w:before="0" w:after="0"/>
      <w:ind w:left="-1120" w:firstLine="1120"/>
      <w:jc w:val="center"/>
    </w:pPr>
    <w:rPr>
      <w:rFonts w:ascii="Verdana" w:hAnsi="Verdana" w:eastAsia="Times New Roman"/>
      <w:b/>
      <w:bCs/>
      <w:sz w:val="24"/>
      <w:szCs w:val="24"/>
      <w:lang w:val="en-GB"/>
    </w:rPr>
  </w:style>
  <w:style w:type="paragraph" w:styleId="Header">
    <w:name w:val="Header"/>
    <w:basedOn w:val="Normal"/>
    <w:link w:val="HeaderChar"/>
    <w:uiPriority w:val="99"/>
    <w:unhideWhenUsed/>
    <w:rsid w:val="00b706ed"/>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b706ed"/>
    <w:pPr>
      <w:tabs>
        <w:tab w:val="clear" w:pos="720"/>
        <w:tab w:val="center" w:pos="4680" w:leader="none"/>
        <w:tab w:val="right" w:pos="9360" w:leader="none"/>
      </w:tabs>
      <w:spacing w:lineRule="auto" w:line="240" w:before="0" w:after="0"/>
    </w:pPr>
    <w:rPr/>
  </w:style>
  <w:style w:type="paragraph" w:styleId="NoSpacing">
    <w:name w:val="No Spacing"/>
    <w:link w:val="NoSpacingChar"/>
    <w:uiPriority w:val="1"/>
    <w:qFormat/>
    <w:rsid w:val="00b706ed"/>
    <w:pPr>
      <w:widowControl/>
      <w:bidi w:val="0"/>
      <w:spacing w:lineRule="auto" w:line="240" w:before="0" w:after="0"/>
      <w:jc w:val="left"/>
    </w:pPr>
    <w:rPr>
      <w:rFonts w:ascii="Calibri" w:hAnsi="Calibri" w:eastAsia="" w:cs="" w:eastAsiaTheme="minorEastAsia"/>
      <w:color w:val="auto"/>
      <w:kern w:val="0"/>
      <w:sz w:val="22"/>
      <w:szCs w:val="22"/>
      <w:lang w:val="en-US" w:eastAsia="en-US" w:bidi="ar-SA"/>
    </w:rPr>
  </w:style>
  <w:style w:type="paragraph" w:styleId="BalloonText">
    <w:name w:val="Balloon Text"/>
    <w:basedOn w:val="Normal"/>
    <w:link w:val="BalloonTextChar"/>
    <w:uiPriority w:val="99"/>
    <w:semiHidden/>
    <w:unhideWhenUsed/>
    <w:qFormat/>
    <w:rsid w:val="00b706ed"/>
    <w:pPr>
      <w:spacing w:lineRule="auto" w:line="240" w:before="0" w:after="0"/>
    </w:pPr>
    <w:rPr>
      <w:rFonts w:ascii="Tahoma" w:hAnsi="Tahoma" w:cs="Tahoma"/>
      <w:sz w:val="16"/>
      <w:szCs w:val="16"/>
    </w:rPr>
  </w:style>
  <w:style w:type="paragraph" w:styleId="Anisarelacioni" w:customStyle="1">
    <w:name w:val="Anisa relacioni"/>
    <w:basedOn w:val="NoSpacing"/>
    <w:link w:val="AnisarelacioniChar"/>
    <w:qFormat/>
    <w:rsid w:val="00c21875"/>
    <w:pPr>
      <w:spacing w:lineRule="auto" w:line="276"/>
      <w:jc w:val="both"/>
    </w:pPr>
    <w:rPr>
      <w:rFonts w:ascii="Times New Roman" w:hAnsi="Times New Roman" w:eastAsia="Calibri" w:cs="Times New Roman"/>
      <w:sz w:val="24"/>
      <w:szCs w:val="24"/>
    </w:rPr>
  </w:style>
  <w:style w:type="paragraph" w:styleId="ANISAfigura" w:customStyle="1">
    <w:name w:val="ANISA figura"/>
    <w:basedOn w:val="Caption1"/>
    <w:link w:val="ANISAfiguraChar"/>
    <w:qFormat/>
    <w:rsid w:val="001115ab"/>
    <w:pPr>
      <w:spacing w:before="120" w:after="120"/>
      <w:jc w:val="center"/>
    </w:pPr>
    <w:rPr>
      <w:rFonts w:ascii="Times New Roman" w:hAnsi="Times New Roman" w:eastAsia="Times New Roman"/>
      <w:b w:val="false"/>
      <w:i/>
      <w:color w:val="auto"/>
      <w:sz w:val="20"/>
      <w:szCs w:val="20"/>
      <w:lang w:val="en-GB" w:eastAsia="en-GB"/>
    </w:rPr>
  </w:style>
  <w:style w:type="paragraph" w:styleId="Caption1">
    <w:name w:val="caption"/>
    <w:basedOn w:val="Normal"/>
    <w:next w:val="Normal"/>
    <w:uiPriority w:val="35"/>
    <w:unhideWhenUsed/>
    <w:qFormat/>
    <w:rsid w:val="001115ab"/>
    <w:pPr>
      <w:spacing w:lineRule="auto" w:line="240"/>
    </w:pPr>
    <w:rPr>
      <w:b/>
      <w:bCs/>
      <w:color w:val="4F81BD" w:themeColor="accent1"/>
      <w:sz w:val="18"/>
      <w:szCs w:val="18"/>
    </w:rPr>
  </w:style>
  <w:style w:type="paragraph" w:styleId="DocumentMap">
    <w:name w:val="Document Map"/>
    <w:basedOn w:val="Normal"/>
    <w:link w:val="DocumentMapChar"/>
    <w:uiPriority w:val="99"/>
    <w:semiHidden/>
    <w:unhideWhenUsed/>
    <w:qFormat/>
    <w:rsid w:val="00964c95"/>
    <w:pPr>
      <w:spacing w:lineRule="auto" w:line="240" w:before="0" w:after="0"/>
    </w:pPr>
    <w:rPr>
      <w:rFonts w:ascii="Tahoma" w:hAnsi="Tahoma" w:cs="Tahoma"/>
      <w:sz w:val="16"/>
      <w:szCs w:val="16"/>
    </w:rPr>
  </w:style>
  <w:style w:type="paragraph" w:styleId="ListParagraph">
    <w:name w:val="List Paragraph"/>
    <w:basedOn w:val="Normal"/>
    <w:uiPriority w:val="1"/>
    <w:qFormat/>
    <w:rsid w:val="009418c0"/>
    <w:pPr>
      <w:spacing w:before="0" w:after="200"/>
      <w:ind w:left="720" w:hanging="0"/>
      <w:contextualSpacing/>
    </w:pPr>
    <w:rPr/>
  </w:style>
  <w:style w:type="paragraph" w:styleId="TOCHeading">
    <w:name w:val="TOC Heading"/>
    <w:basedOn w:val="Heading1"/>
    <w:next w:val="Normal"/>
    <w:uiPriority w:val="39"/>
    <w:unhideWhenUsed/>
    <w:qFormat/>
    <w:rsid w:val="004555b2"/>
    <w:pPr>
      <w:spacing w:lineRule="auto" w:line="259"/>
    </w:pPr>
    <w:rPr>
      <w:lang w:val="en-US"/>
    </w:rPr>
  </w:style>
  <w:style w:type="paragraph" w:styleId="Contents2">
    <w:name w:val="TOC 2"/>
    <w:basedOn w:val="Normal"/>
    <w:next w:val="Normal"/>
    <w:autoRedefine/>
    <w:uiPriority w:val="39"/>
    <w:unhideWhenUsed/>
    <w:rsid w:val="004555b2"/>
    <w:pPr>
      <w:spacing w:lineRule="auto" w:line="259" w:before="0" w:after="100"/>
      <w:ind w:left="220" w:hanging="0"/>
    </w:pPr>
    <w:rPr>
      <w:rFonts w:ascii="Calibri" w:hAnsi="Calibri" w:eastAsia="" w:asciiTheme="minorHAnsi" w:eastAsiaTheme="minorEastAsia" w:hAnsiTheme="minorHAnsi"/>
      <w:lang w:val="en-US"/>
    </w:rPr>
  </w:style>
  <w:style w:type="paragraph" w:styleId="Contents1">
    <w:name w:val="TOC 1"/>
    <w:basedOn w:val="Normal"/>
    <w:next w:val="Normal"/>
    <w:autoRedefine/>
    <w:uiPriority w:val="39"/>
    <w:unhideWhenUsed/>
    <w:rsid w:val="004555b2"/>
    <w:pPr>
      <w:spacing w:lineRule="auto" w:line="259" w:before="0" w:after="100"/>
    </w:pPr>
    <w:rPr>
      <w:rFonts w:ascii="Calibri" w:hAnsi="Calibri" w:eastAsia="" w:asciiTheme="minorHAnsi" w:eastAsiaTheme="minorEastAsia" w:hAnsiTheme="minorHAnsi"/>
      <w:lang w:val="en-US"/>
    </w:rPr>
  </w:style>
  <w:style w:type="paragraph" w:styleId="Contents3">
    <w:name w:val="TOC 3"/>
    <w:basedOn w:val="Normal"/>
    <w:next w:val="Normal"/>
    <w:autoRedefine/>
    <w:uiPriority w:val="39"/>
    <w:unhideWhenUsed/>
    <w:rsid w:val="004555b2"/>
    <w:pPr>
      <w:spacing w:lineRule="auto" w:line="259" w:before="0" w:after="100"/>
      <w:ind w:left="440" w:hanging="0"/>
    </w:pPr>
    <w:rPr>
      <w:rFonts w:ascii="Calibri" w:hAnsi="Calibri" w:eastAsia="" w:asciiTheme="minorHAnsi" w:eastAsiaTheme="minorEastAsia" w:hAnsiTheme="minorHAnsi"/>
      <w:lang w:val="en-US"/>
    </w:rPr>
  </w:style>
  <w:style w:type="paragraph" w:styleId="Default" w:customStyle="1">
    <w:name w:val="Default"/>
    <w:qFormat/>
    <w:rsid w:val="0017689a"/>
    <w:pPr>
      <w:widowControl/>
      <w:bidi w:val="0"/>
      <w:spacing w:lineRule="auto" w:line="240" w:before="0" w:after="0"/>
      <w:jc w:val="left"/>
    </w:pPr>
    <w:rPr>
      <w:rFonts w:ascii="Times New Roman" w:hAnsi="Times New Roman" w:eastAsia="Times New Roman" w:cs="Times New Roman"/>
      <w:color w:val="000000"/>
      <w:kern w:val="0"/>
      <w:sz w:val="24"/>
      <w:szCs w:val="24"/>
      <w:lang w:val="en-US" w:eastAsia="en-US" w:bidi="ar-SA"/>
    </w:rPr>
  </w:style>
  <w:style w:type="paragraph" w:styleId="Tableoffigures">
    <w:name w:val="table of figures"/>
    <w:basedOn w:val="Normal"/>
    <w:next w:val="Normal"/>
    <w:uiPriority w:val="99"/>
    <w:unhideWhenUsed/>
    <w:qFormat/>
    <w:rsid w:val="00d01467"/>
    <w:pPr>
      <w:spacing w:before="0" w:after="0"/>
    </w:pPr>
    <w:rPr/>
  </w:style>
  <w:style w:type="numbering" w:styleId="NoList" w:default="1">
    <w:name w:val="No List"/>
    <w:uiPriority w:val="99"/>
    <w:semiHidden/>
    <w:unhideWhenUsed/>
    <w:qFormat/>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Relationship Id="rId15" Type="http://schemas.openxmlformats.org/officeDocument/2006/relationships/theme" Target="theme/theme1.xml"/><Relationship Id="rId16"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FF0ABB-8F12-4B5E-916A-31A6A09A2C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1477</TotalTime>
  <Application>LibreOffice/6.2.0.3$Windows_X86_64 LibreOffice_project/98c6a8a1c6c7b144ce3cc729e34964b47ce25d62</Application>
  <Pages>19</Pages>
  <Words>4168</Words>
  <Characters>22685</Characters>
  <CharactersWithSpaces>26797</CharactersWithSpaces>
  <Paragraphs>218</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2019-01-17T14:54:00Z</dcterms:created>
  <dc:creator>eva.hoxha</dc:creator>
  <dc:description/>
  <dc:language>en-GB</dc:language>
  <cp:lastModifiedBy/>
  <dcterms:modified xsi:type="dcterms:W3CDTF">2019-07-19T13:50:28Z</dcterms:modified>
  <cp:revision>91</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