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20791D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42F54FD" wp14:editId="36DC4B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448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-0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A0792D" w:rsidRPr="00A0792D">
        <w:rPr>
          <w:rFonts w:ascii="Times New Roman" w:eastAsia="Times New Roman" w:hAnsi="Times New Roman" w:cs="Times New Roman"/>
          <w:sz w:val="24"/>
          <w:szCs w:val="24"/>
          <w:lang w:val="it-IT"/>
        </w:rPr>
        <w:t>Urdhërit të Kryetarit nr. 2044 nr.prot 28704, datë 24.07.2024 për “Miratimin e Strukturës dhe organikës së institucionit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4F2" w:rsidRPr="00B005A7" w:rsidRDefault="008544F2" w:rsidP="008544F2">
      <w:pPr>
        <w:pStyle w:val="ListParagraph"/>
        <w:numPr>
          <w:ilvl w:val="0"/>
          <w:numId w:val="32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Arkivist-Protokoll</w:t>
      </w:r>
      <w:r w:rsidRPr="00B005A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Sektori i Shërbimeve Mbështetë</w:t>
      </w:r>
      <w:r w:rsidRPr="004E5F42">
        <w:rPr>
          <w:rFonts w:ascii="Times New Roman" w:eastAsia="Times New Roman" w:hAnsi="Times New Roman"/>
          <w:b/>
          <w:sz w:val="24"/>
          <w:szCs w:val="24"/>
        </w:rPr>
        <w:t>se</w:t>
      </w:r>
      <w:r>
        <w:rPr>
          <w:rFonts w:ascii="Times New Roman" w:eastAsia="Times New Roman" w:hAnsi="Times New Roman"/>
          <w:b/>
          <w:sz w:val="24"/>
          <w:szCs w:val="24"/>
        </w:rPr>
        <w:t>, Njësia Administrative, Njësia Bashkiake Nr.11, Bashkia Tiranë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4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bookmarkStart w:id="0" w:name="_GoBack"/>
      <w:bookmarkEnd w:id="0"/>
      <w:r w:rsidR="004E5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E5F42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44F2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05A7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3C41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0375-5FD0-461C-83EA-1C115B54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2024-10-28T10:02:00Z</cp:lastPrinted>
  <dcterms:created xsi:type="dcterms:W3CDTF">2024-10-31T09:32:00Z</dcterms:created>
  <dcterms:modified xsi:type="dcterms:W3CDTF">2024-10-31T09:32:00Z</dcterms:modified>
</cp:coreProperties>
</file>